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32"/>
        </w:rPr>
        <w:t>Statistical Analysis of Student Learning Habits and Academic Performance Using the Chi-Square Test of Independence</w:t>
      </w:r>
    </w:p>
    <w:p>
      <w:pPr>
        <w:jc w:val="center"/>
      </w:pPr>
      <w:r>
        <w:rPr>
          <w:b/>
          <w:sz w:val="24"/>
        </w:rPr>
        <w:t>Lakshma Deepan</w:t>
      </w:r>
    </w:p>
    <w:p>
      <w:pPr>
        <w:jc w:val="center"/>
      </w:pPr>
      <w:r>
        <w:rPr>
          <w:sz w:val="20"/>
        </w:rPr>
        <w:t>B.Tech. Artificial Intelligence and Data Science</w:t>
        <w:br/>
        <w:t>Dr. N.G.P. Institute of Technology, Tamil Nadu, India</w:t>
      </w:r>
    </w:p>
    <w:p>
      <w:pPr>
        <w:jc w:val="center"/>
      </w:pPr>
      <w:r>
        <w:rPr>
          <w:b/>
          <w:i/>
        </w:rPr>
        <w:t>Research Article</w:t>
      </w:r>
    </w:p>
    <w:p>
      <w:pPr>
        <w:pStyle w:val="Heading1"/>
      </w:pPr>
      <w:r>
        <w:t>Abstract</w:t>
      </w:r>
    </w:p>
    <w:p>
      <w:r>
        <w:t>This study investigates the association between selected student learning habits and academic performance using the Chi-square test of independence. Primary data were collected from students through a structured Google Forms questionnaire and classified into categorical groups for statistical analysis. Academic performance was grouped into two categories: below 70% and 70% and above. Six learning-related factors were examined: assignment completion, use of online learning resources, subject understanding, revision frequency, difficulty in understanding topics, and satisfaction with the learning process. The Chi-square test was applied at a 5% significance level. The analysis indicated statistically significant associations between academic performance and assignment completion, online learning resource use, and subject understanding, with reported Chi-square statistics of 6.87, 6.63, and 6.99 respectively. The remaining three factors did not show statistically significant associations in the collected sample. The study demonstrates the practical application of contingency tables and hypothesis testing to student survey data.</w:t>
      </w:r>
    </w:p>
    <w:p>
      <w:r>
        <w:t>Keywords: Chi-square test, hypothesis testing, student learning habits, academic performance, survey analysis, categorical data</w:t>
      </w:r>
    </w:p>
    <w:p>
      <w:pPr>
        <w:pStyle w:val="Heading1"/>
      </w:pPr>
      <w:r>
        <w:t>1. Introduction</w:t>
      </w:r>
    </w:p>
    <w:p>
      <w:r>
        <w:t>Academic performance can be influenced by several aspects of the learning process, including study habits, assignment completion, revision practices, access to learning resources, subject understanding, and the learning environment. Identifying relationships between these factors and academic performance can help educational institutions understand learning patterns and identify areas that may require improvement.</w:t>
      </w:r>
    </w:p>
    <w:p>
      <w:r>
        <w:t>Educational survey data frequently contain categorical responses. Statistical hypothesis testing can therefore be used to determine whether observed relationships between categorical variables are statistically significant. The Chi-square test of independence is a commonly used method for examining whether two categorical variables are associated or independent.</w:t>
      </w:r>
    </w:p>
    <w:p>
      <w:r>
        <w:t>The present study focuses on student learning habits and academic performance. Data were collected from students using structured questions through Google Forms. The questionnaire included questions related to study habits, assignment completion, revision habits, online learning resources, subject understanding, difficulties in learning, and satisfaction with the learning process.</w:t>
      </w:r>
    </w:p>
    <w:p>
      <w:r>
        <w:t>The main objective of this study is to examine whether selected learning-related factors are significantly associated with student academic performance using the Chi-square test of independence at a 5% level of significance.</w:t>
      </w:r>
    </w:p>
    <w:p>
      <w:pPr>
        <w:pStyle w:val="Heading1"/>
      </w:pPr>
      <w:r>
        <w:t>2. Statistical Preliminaries</w:t>
      </w:r>
    </w:p>
    <w:p>
      <w:pPr>
        <w:pStyle w:val="Heading2"/>
      </w:pPr>
      <w:r>
        <w:t>2.1 Statistical Hypotheses</w:t>
      </w:r>
    </w:p>
    <w:p>
      <w:r>
        <w:t>A statistical hypothesis is a statement concerning a population or the relationship between variables that can be evaluated using sample data.</w:t>
      </w:r>
    </w:p>
    <w:p>
      <w:r>
        <w:t>Null hypothesis (H₀): There is no statistically significant association between the two categorical variables under study.</w:t>
      </w:r>
    </w:p>
    <w:p>
      <w:r>
        <w:t>Alternative hypothesis (H₁): There is a statistically significant association between the two categorical variables under study.</w:t>
      </w:r>
    </w:p>
    <w:p>
      <w:pPr>
        <w:pStyle w:val="Heading2"/>
      </w:pPr>
      <w:r>
        <w:t>2.2 Chi-square Test of Independence</w:t>
      </w:r>
    </w:p>
    <w:p>
      <w:r>
        <w:t>The Chi-square test of independence is used to determine whether two categorical variables are statistically independent. For a contingency table, the test statistic is calculated as:</w:t>
      </w:r>
    </w:p>
    <w:p>
      <w:pPr>
        <w:jc w:val="center"/>
      </w:pPr>
      <w:r>
        <w:rPr>
          <w:b/>
          <w:sz w:val="24"/>
        </w:rPr>
        <w:t>χ² = Σ (O − E)² / E</w:t>
      </w:r>
    </w:p>
    <w:p>
      <w:r>
        <w:t>where O represents the observed frequency and E represents the expected frequency. The expected frequency for each cell is calculated as:</w:t>
      </w:r>
    </w:p>
    <w:p>
      <w:pPr>
        <w:jc w:val="center"/>
      </w:pPr>
      <w:r>
        <w:rPr>
          <w:b/>
          <w:sz w:val="24"/>
        </w:rPr>
        <w:t>E = (Row Total × Column Total) / Grand Total</w:t>
      </w:r>
    </w:p>
    <w:p>
      <w:r>
        <w:t>For a 2 × 2 contingency table, the degrees of freedom are (r − 1)(c − 1), which gives one degree of freedom. The significance level used in this study was α = 0.05. The decision rule was to reject H₀ when the calculated Chi-square value exceeded the critical table value.</w:t>
      </w:r>
    </w:p>
    <w:p>
      <w:pPr>
        <w:pStyle w:val="Heading1"/>
      </w:pPr>
      <w:r>
        <w:t>3. Methodology</w:t>
      </w:r>
    </w:p>
    <w:p>
      <w:pPr>
        <w:pStyle w:val="Heading2"/>
      </w:pPr>
      <w:r>
        <w:t>3.1 Data Collection</w:t>
      </w:r>
    </w:p>
    <w:p>
      <w:r>
        <w:t>Primary data were collected using a structured Google Forms questionnaire. Responses were obtained from students. The questionnaire covered assignment completion, use of online learning resources, revision frequency, subject understanding, difficulty in understanding topics, satisfaction with the learning process, and recent examination performance. The responses were exported to Microsoft Excel for classification and statistical analysis.</w:t>
      </w:r>
    </w:p>
    <w:p>
      <w:pPr>
        <w:pStyle w:val="Heading2"/>
      </w:pPr>
      <w:r>
        <w:t>3.2 Data Classification</w:t>
      </w:r>
    </w:p>
    <w:p>
      <w:r>
        <w:t>For application of the Chi-square test, the survey responses were grouped into categorical classes. Learning-factor responses were represented using ratings 1–3 and 4–5. Academic performance was grouped into two categories.</w:t>
      </w:r>
    </w:p>
    <w:tbl>
      <w:tblPr>
        <w:tblStyle w:val="TableGrid"/>
        <w:tblW w:type="auto" w:w="0"/>
        <w:jc w:val="center"/>
        <w:tblLook w:firstColumn="1" w:firstRow="1" w:lastColumn="0" w:lastRow="0" w:noHBand="0" w:noVBand="1" w:val="04A0"/>
      </w:tblPr>
      <w:tblGrid>
        <w:gridCol w:w="4896"/>
        <w:gridCol w:w="4896"/>
      </w:tblGrid>
      <w:tr>
        <w:tc>
          <w:tcPr>
            <w:tcW w:type="dxa" w:w="4896"/>
            <w:vAlign w:val="center"/>
          </w:tcPr>
          <w:p>
            <w:pPr>
              <w:jc w:val="center"/>
            </w:pPr>
            <w:r/>
            <w:r>
              <w:rPr>
                <w:rFonts w:ascii="Times New Roman" w:hAnsi="Times New Roman"/>
                <w:b/>
                <w:sz w:val="20"/>
              </w:rPr>
              <w:t>Academic Performance Category</w:t>
            </w:r>
          </w:p>
        </w:tc>
        <w:tc>
          <w:tcPr>
            <w:tcW w:type="dxa" w:w="4896"/>
            <w:vAlign w:val="center"/>
          </w:tcPr>
          <w:p>
            <w:pPr>
              <w:jc w:val="center"/>
            </w:pPr>
            <w:r/>
            <w:r>
              <w:rPr>
                <w:rFonts w:ascii="Times New Roman" w:hAnsi="Times New Roman"/>
                <w:b/>
                <w:sz w:val="20"/>
              </w:rPr>
              <w:t>Percentage Range</w:t>
            </w:r>
          </w:p>
        </w:tc>
      </w:tr>
      <w:tr>
        <w:tc>
          <w:tcPr>
            <w:tcW w:type="dxa" w:w="4896"/>
            <w:vAlign w:val="center"/>
          </w:tcPr>
          <w:p>
            <w:pPr>
              <w:jc w:val="center"/>
            </w:pPr>
            <w:r/>
            <w:r>
              <w:rPr>
                <w:rFonts w:ascii="Times New Roman" w:hAnsi="Times New Roman"/>
                <w:b w:val="0"/>
                <w:sz w:val="20"/>
              </w:rPr>
              <w:t>Below 70%</w:t>
            </w:r>
          </w:p>
        </w:tc>
        <w:tc>
          <w:tcPr>
            <w:tcW w:type="dxa" w:w="4896"/>
            <w:vAlign w:val="center"/>
          </w:tcPr>
          <w:p>
            <w:pPr>
              <w:jc w:val="center"/>
            </w:pPr>
            <w:r/>
            <w:r>
              <w:rPr>
                <w:rFonts w:ascii="Times New Roman" w:hAnsi="Times New Roman"/>
                <w:b w:val="0"/>
                <w:sz w:val="20"/>
              </w:rPr>
              <w:t>Below 70%</w:t>
            </w:r>
          </w:p>
        </w:tc>
      </w:tr>
      <w:tr>
        <w:tc>
          <w:tcPr>
            <w:tcW w:type="dxa" w:w="4896"/>
            <w:vAlign w:val="center"/>
          </w:tcPr>
          <w:p>
            <w:pPr>
              <w:jc w:val="center"/>
            </w:pPr>
            <w:r/>
            <w:r>
              <w:rPr>
                <w:rFonts w:ascii="Times New Roman" w:hAnsi="Times New Roman"/>
                <w:b w:val="0"/>
                <w:sz w:val="20"/>
              </w:rPr>
              <w:t>70% and above</w:t>
            </w:r>
          </w:p>
        </w:tc>
        <w:tc>
          <w:tcPr>
            <w:tcW w:type="dxa" w:w="4896"/>
            <w:vAlign w:val="center"/>
          </w:tcPr>
          <w:p>
            <w:pPr>
              <w:jc w:val="center"/>
            </w:pPr>
            <w:r/>
            <w:r>
              <w:rPr>
                <w:rFonts w:ascii="Times New Roman" w:hAnsi="Times New Roman"/>
                <w:b w:val="0"/>
                <w:sz w:val="20"/>
              </w:rPr>
              <w:t>70–100%</w:t>
            </w:r>
          </w:p>
        </w:tc>
      </w:tr>
    </w:tbl>
    <w:p/>
    <w:p>
      <w:r>
        <w:t>The significance level was fixed at α = 0.05.</w:t>
      </w:r>
    </w:p>
    <w:p>
      <w:pPr>
        <w:pStyle w:val="Heading2"/>
      </w:pPr>
      <w:r>
        <w:t>3.3 Factors Tested</w:t>
      </w:r>
    </w:p>
    <w:p>
      <w:r>
        <w:t>Six learning factors were examined against academic performance: assignment completion, online learning resource use, subject understanding, revision frequency, difficulty in understanding topics, and satisfaction with the learning process.</w:t>
      </w:r>
    </w:p>
    <w:p>
      <w:pPr>
        <w:pStyle w:val="Heading1"/>
      </w:pPr>
      <w:r>
        <w:t>4. Results and Hypothesis Testing</w:t>
      </w:r>
    </w:p>
    <w:p>
      <w:r>
        <w:t>The following table summarizes the reported Chi-square test results for the six learning factors.</w:t>
      </w:r>
    </w:p>
    <w:tbl>
      <w:tblPr>
        <w:tblStyle w:val="TableGrid"/>
        <w:tblW w:type="auto" w:w="0"/>
        <w:jc w:val="center"/>
        <w:tblLook w:firstColumn="1" w:firstRow="1" w:lastColumn="0" w:lastRow="0" w:noHBand="0" w:noVBand="1" w:val="04A0"/>
      </w:tblPr>
      <w:tblGrid>
        <w:gridCol w:w="1958"/>
        <w:gridCol w:w="1958"/>
        <w:gridCol w:w="1958"/>
        <w:gridCol w:w="1958"/>
        <w:gridCol w:w="1958"/>
      </w:tblGrid>
      <w:tr>
        <w:tc>
          <w:tcPr>
            <w:tcW w:type="dxa" w:w="1958"/>
            <w:vAlign w:val="center"/>
          </w:tcPr>
          <w:p>
            <w:pPr>
              <w:jc w:val="center"/>
            </w:pPr>
            <w:r/>
            <w:r>
              <w:rPr>
                <w:rFonts w:ascii="Times New Roman" w:hAnsi="Times New Roman"/>
                <w:b/>
                <w:sz w:val="20"/>
              </w:rPr>
              <w:t>Learning Factor</w:t>
            </w:r>
          </w:p>
        </w:tc>
        <w:tc>
          <w:tcPr>
            <w:tcW w:type="dxa" w:w="1958"/>
            <w:vAlign w:val="center"/>
          </w:tcPr>
          <w:p>
            <w:pPr>
              <w:jc w:val="center"/>
            </w:pPr>
            <w:r/>
            <w:r>
              <w:rPr>
                <w:rFonts w:ascii="Times New Roman" w:hAnsi="Times New Roman"/>
                <w:b/>
                <w:sz w:val="20"/>
              </w:rPr>
              <w:t>χ²</w:t>
            </w:r>
          </w:p>
        </w:tc>
        <w:tc>
          <w:tcPr>
            <w:tcW w:type="dxa" w:w="1958"/>
            <w:vAlign w:val="center"/>
          </w:tcPr>
          <w:p>
            <w:pPr>
              <w:jc w:val="center"/>
            </w:pPr>
            <w:r/>
            <w:r>
              <w:rPr>
                <w:rFonts w:ascii="Times New Roman" w:hAnsi="Times New Roman"/>
                <w:b/>
                <w:sz w:val="20"/>
              </w:rPr>
              <w:t>df</w:t>
            </w:r>
          </w:p>
        </w:tc>
        <w:tc>
          <w:tcPr>
            <w:tcW w:type="dxa" w:w="1958"/>
            <w:vAlign w:val="center"/>
          </w:tcPr>
          <w:p>
            <w:pPr>
              <w:jc w:val="center"/>
            </w:pPr>
            <w:r/>
            <w:r>
              <w:rPr>
                <w:rFonts w:ascii="Times New Roman" w:hAnsi="Times New Roman"/>
                <w:b/>
                <w:sz w:val="20"/>
              </w:rPr>
              <w:t>Critical Value (5%)</w:t>
            </w:r>
          </w:p>
        </w:tc>
        <w:tc>
          <w:tcPr>
            <w:tcW w:type="dxa" w:w="1958"/>
            <w:vAlign w:val="center"/>
          </w:tcPr>
          <w:p>
            <w:pPr>
              <w:jc w:val="center"/>
            </w:pPr>
            <w:r/>
            <w:r>
              <w:rPr>
                <w:rFonts w:ascii="Times New Roman" w:hAnsi="Times New Roman"/>
                <w:b/>
                <w:sz w:val="20"/>
              </w:rPr>
              <w:t>Decision</w:t>
            </w:r>
          </w:p>
        </w:tc>
      </w:tr>
      <w:tr>
        <w:tc>
          <w:tcPr>
            <w:tcW w:type="dxa" w:w="1958"/>
            <w:vAlign w:val="center"/>
          </w:tcPr>
          <w:p>
            <w:pPr>
              <w:jc w:val="center"/>
            </w:pPr>
            <w:r/>
            <w:r>
              <w:rPr>
                <w:rFonts w:ascii="Times New Roman" w:hAnsi="Times New Roman"/>
                <w:b w:val="0"/>
                <w:sz w:val="20"/>
              </w:rPr>
              <w:t>Assignment completion</w:t>
            </w:r>
          </w:p>
        </w:tc>
        <w:tc>
          <w:tcPr>
            <w:tcW w:type="dxa" w:w="1958"/>
            <w:vAlign w:val="center"/>
          </w:tcPr>
          <w:p>
            <w:pPr>
              <w:jc w:val="center"/>
            </w:pPr>
            <w:r/>
            <w:r>
              <w:rPr>
                <w:rFonts w:ascii="Times New Roman" w:hAnsi="Times New Roman"/>
                <w:b w:val="0"/>
                <w:sz w:val="20"/>
              </w:rPr>
              <w:t>6.87</w:t>
            </w:r>
          </w:p>
        </w:tc>
        <w:tc>
          <w:tcPr>
            <w:tcW w:type="dxa" w:w="1958"/>
            <w:vAlign w:val="center"/>
          </w:tcPr>
          <w:p>
            <w:pPr>
              <w:jc w:val="center"/>
            </w:pPr>
            <w:r/>
            <w:r>
              <w:rPr>
                <w:rFonts w:ascii="Times New Roman" w:hAnsi="Times New Roman"/>
                <w:b w:val="0"/>
                <w:sz w:val="20"/>
              </w:rPr>
              <w:t>1</w:t>
            </w:r>
          </w:p>
        </w:tc>
        <w:tc>
          <w:tcPr>
            <w:tcW w:type="dxa" w:w="1958"/>
            <w:vAlign w:val="center"/>
          </w:tcPr>
          <w:p>
            <w:pPr>
              <w:jc w:val="center"/>
            </w:pPr>
            <w:r/>
            <w:r>
              <w:rPr>
                <w:rFonts w:ascii="Times New Roman" w:hAnsi="Times New Roman"/>
                <w:b w:val="0"/>
                <w:sz w:val="20"/>
              </w:rPr>
              <w:t>3.84</w:t>
            </w:r>
          </w:p>
        </w:tc>
        <w:tc>
          <w:tcPr>
            <w:tcW w:type="dxa" w:w="1958"/>
            <w:vAlign w:val="center"/>
          </w:tcPr>
          <w:p>
            <w:pPr>
              <w:jc w:val="center"/>
            </w:pPr>
            <w:r/>
            <w:r>
              <w:rPr>
                <w:rFonts w:ascii="Times New Roman" w:hAnsi="Times New Roman"/>
                <w:b w:val="0"/>
                <w:sz w:val="20"/>
              </w:rPr>
              <w:t>Reject H₀</w:t>
            </w:r>
          </w:p>
        </w:tc>
      </w:tr>
      <w:tr>
        <w:tc>
          <w:tcPr>
            <w:tcW w:type="dxa" w:w="1958"/>
            <w:vAlign w:val="center"/>
          </w:tcPr>
          <w:p>
            <w:pPr>
              <w:jc w:val="center"/>
            </w:pPr>
            <w:r/>
            <w:r>
              <w:rPr>
                <w:rFonts w:ascii="Times New Roman" w:hAnsi="Times New Roman"/>
                <w:b w:val="0"/>
                <w:sz w:val="20"/>
              </w:rPr>
              <w:t>Online resource use</w:t>
            </w:r>
          </w:p>
        </w:tc>
        <w:tc>
          <w:tcPr>
            <w:tcW w:type="dxa" w:w="1958"/>
            <w:vAlign w:val="center"/>
          </w:tcPr>
          <w:p>
            <w:pPr>
              <w:jc w:val="center"/>
            </w:pPr>
            <w:r/>
            <w:r>
              <w:rPr>
                <w:rFonts w:ascii="Times New Roman" w:hAnsi="Times New Roman"/>
                <w:b w:val="0"/>
                <w:sz w:val="20"/>
              </w:rPr>
              <w:t>6.63</w:t>
            </w:r>
          </w:p>
        </w:tc>
        <w:tc>
          <w:tcPr>
            <w:tcW w:type="dxa" w:w="1958"/>
            <w:vAlign w:val="center"/>
          </w:tcPr>
          <w:p>
            <w:pPr>
              <w:jc w:val="center"/>
            </w:pPr>
            <w:r/>
            <w:r>
              <w:rPr>
                <w:rFonts w:ascii="Times New Roman" w:hAnsi="Times New Roman"/>
                <w:b w:val="0"/>
                <w:sz w:val="20"/>
              </w:rPr>
              <w:t>1</w:t>
            </w:r>
          </w:p>
        </w:tc>
        <w:tc>
          <w:tcPr>
            <w:tcW w:type="dxa" w:w="1958"/>
            <w:vAlign w:val="center"/>
          </w:tcPr>
          <w:p>
            <w:pPr>
              <w:jc w:val="center"/>
            </w:pPr>
            <w:r/>
            <w:r>
              <w:rPr>
                <w:rFonts w:ascii="Times New Roman" w:hAnsi="Times New Roman"/>
                <w:b w:val="0"/>
                <w:sz w:val="20"/>
              </w:rPr>
              <w:t>3.84</w:t>
            </w:r>
          </w:p>
        </w:tc>
        <w:tc>
          <w:tcPr>
            <w:tcW w:type="dxa" w:w="1958"/>
            <w:vAlign w:val="center"/>
          </w:tcPr>
          <w:p>
            <w:pPr>
              <w:jc w:val="center"/>
            </w:pPr>
            <w:r/>
            <w:r>
              <w:rPr>
                <w:rFonts w:ascii="Times New Roman" w:hAnsi="Times New Roman"/>
                <w:b w:val="0"/>
                <w:sz w:val="20"/>
              </w:rPr>
              <w:t>Reject H₀</w:t>
            </w:r>
          </w:p>
        </w:tc>
      </w:tr>
      <w:tr>
        <w:tc>
          <w:tcPr>
            <w:tcW w:type="dxa" w:w="1958"/>
            <w:vAlign w:val="center"/>
          </w:tcPr>
          <w:p>
            <w:pPr>
              <w:jc w:val="center"/>
            </w:pPr>
            <w:r/>
            <w:r>
              <w:rPr>
                <w:rFonts w:ascii="Times New Roman" w:hAnsi="Times New Roman"/>
                <w:b w:val="0"/>
                <w:sz w:val="20"/>
              </w:rPr>
              <w:t>Subject understanding</w:t>
            </w:r>
          </w:p>
        </w:tc>
        <w:tc>
          <w:tcPr>
            <w:tcW w:type="dxa" w:w="1958"/>
            <w:vAlign w:val="center"/>
          </w:tcPr>
          <w:p>
            <w:pPr>
              <w:jc w:val="center"/>
            </w:pPr>
            <w:r/>
            <w:r>
              <w:rPr>
                <w:rFonts w:ascii="Times New Roman" w:hAnsi="Times New Roman"/>
                <w:b w:val="0"/>
                <w:sz w:val="20"/>
              </w:rPr>
              <w:t>6.99</w:t>
            </w:r>
          </w:p>
        </w:tc>
        <w:tc>
          <w:tcPr>
            <w:tcW w:type="dxa" w:w="1958"/>
            <w:vAlign w:val="center"/>
          </w:tcPr>
          <w:p>
            <w:pPr>
              <w:jc w:val="center"/>
            </w:pPr>
            <w:r/>
            <w:r>
              <w:rPr>
                <w:rFonts w:ascii="Times New Roman" w:hAnsi="Times New Roman"/>
                <w:b w:val="0"/>
                <w:sz w:val="20"/>
              </w:rPr>
              <w:t>1</w:t>
            </w:r>
          </w:p>
        </w:tc>
        <w:tc>
          <w:tcPr>
            <w:tcW w:type="dxa" w:w="1958"/>
            <w:vAlign w:val="center"/>
          </w:tcPr>
          <w:p>
            <w:pPr>
              <w:jc w:val="center"/>
            </w:pPr>
            <w:r/>
            <w:r>
              <w:rPr>
                <w:rFonts w:ascii="Times New Roman" w:hAnsi="Times New Roman"/>
                <w:b w:val="0"/>
                <w:sz w:val="20"/>
              </w:rPr>
              <w:t>3.84</w:t>
            </w:r>
          </w:p>
        </w:tc>
        <w:tc>
          <w:tcPr>
            <w:tcW w:type="dxa" w:w="1958"/>
            <w:vAlign w:val="center"/>
          </w:tcPr>
          <w:p>
            <w:pPr>
              <w:jc w:val="center"/>
            </w:pPr>
            <w:r/>
            <w:r>
              <w:rPr>
                <w:rFonts w:ascii="Times New Roman" w:hAnsi="Times New Roman"/>
                <w:b w:val="0"/>
                <w:sz w:val="20"/>
              </w:rPr>
              <w:t>Reject H₀</w:t>
            </w:r>
          </w:p>
        </w:tc>
      </w:tr>
      <w:tr>
        <w:tc>
          <w:tcPr>
            <w:tcW w:type="dxa" w:w="1958"/>
            <w:vAlign w:val="center"/>
          </w:tcPr>
          <w:p>
            <w:pPr>
              <w:jc w:val="center"/>
            </w:pPr>
            <w:r/>
            <w:r>
              <w:rPr>
                <w:rFonts w:ascii="Times New Roman" w:hAnsi="Times New Roman"/>
                <w:b w:val="0"/>
                <w:sz w:val="20"/>
              </w:rPr>
              <w:t>Revision frequency</w:t>
            </w:r>
          </w:p>
        </w:tc>
        <w:tc>
          <w:tcPr>
            <w:tcW w:type="dxa" w:w="1958"/>
            <w:vAlign w:val="center"/>
          </w:tcPr>
          <w:p>
            <w:pPr>
              <w:jc w:val="center"/>
            </w:pPr>
            <w:r/>
            <w:r>
              <w:rPr>
                <w:rFonts w:ascii="Times New Roman" w:hAnsi="Times New Roman"/>
                <w:b w:val="0"/>
                <w:sz w:val="20"/>
              </w:rPr>
              <w:t>1.90</w:t>
            </w:r>
          </w:p>
        </w:tc>
        <w:tc>
          <w:tcPr>
            <w:tcW w:type="dxa" w:w="1958"/>
            <w:vAlign w:val="center"/>
          </w:tcPr>
          <w:p>
            <w:pPr>
              <w:jc w:val="center"/>
            </w:pPr>
            <w:r/>
            <w:r>
              <w:rPr>
                <w:rFonts w:ascii="Times New Roman" w:hAnsi="Times New Roman"/>
                <w:b w:val="0"/>
                <w:sz w:val="20"/>
              </w:rPr>
              <w:t>1</w:t>
            </w:r>
          </w:p>
        </w:tc>
        <w:tc>
          <w:tcPr>
            <w:tcW w:type="dxa" w:w="1958"/>
            <w:vAlign w:val="center"/>
          </w:tcPr>
          <w:p>
            <w:pPr>
              <w:jc w:val="center"/>
            </w:pPr>
            <w:r/>
            <w:r>
              <w:rPr>
                <w:rFonts w:ascii="Times New Roman" w:hAnsi="Times New Roman"/>
                <w:b w:val="0"/>
                <w:sz w:val="20"/>
              </w:rPr>
              <w:t>3.84</w:t>
            </w:r>
          </w:p>
        </w:tc>
        <w:tc>
          <w:tcPr>
            <w:tcW w:type="dxa" w:w="1958"/>
            <w:vAlign w:val="center"/>
          </w:tcPr>
          <w:p>
            <w:pPr>
              <w:jc w:val="center"/>
            </w:pPr>
            <w:r/>
            <w:r>
              <w:rPr>
                <w:rFonts w:ascii="Times New Roman" w:hAnsi="Times New Roman"/>
                <w:b w:val="0"/>
                <w:sz w:val="20"/>
              </w:rPr>
              <w:t>Do not reject H₀</w:t>
            </w:r>
          </w:p>
        </w:tc>
      </w:tr>
      <w:tr>
        <w:tc>
          <w:tcPr>
            <w:tcW w:type="dxa" w:w="1958"/>
            <w:vAlign w:val="center"/>
          </w:tcPr>
          <w:p>
            <w:pPr>
              <w:jc w:val="center"/>
            </w:pPr>
            <w:r/>
            <w:r>
              <w:rPr>
                <w:rFonts w:ascii="Times New Roman" w:hAnsi="Times New Roman"/>
                <w:b w:val="0"/>
                <w:sz w:val="20"/>
              </w:rPr>
              <w:t>Difficulty in understanding</w:t>
            </w:r>
          </w:p>
        </w:tc>
        <w:tc>
          <w:tcPr>
            <w:tcW w:type="dxa" w:w="1958"/>
            <w:vAlign w:val="center"/>
          </w:tcPr>
          <w:p>
            <w:pPr>
              <w:jc w:val="center"/>
            </w:pPr>
            <w:r/>
            <w:r>
              <w:rPr>
                <w:rFonts w:ascii="Times New Roman" w:hAnsi="Times New Roman"/>
                <w:b w:val="0"/>
                <w:sz w:val="20"/>
              </w:rPr>
              <w:t>0.52</w:t>
            </w:r>
          </w:p>
        </w:tc>
        <w:tc>
          <w:tcPr>
            <w:tcW w:type="dxa" w:w="1958"/>
            <w:vAlign w:val="center"/>
          </w:tcPr>
          <w:p>
            <w:pPr>
              <w:jc w:val="center"/>
            </w:pPr>
            <w:r/>
            <w:r>
              <w:rPr>
                <w:rFonts w:ascii="Times New Roman" w:hAnsi="Times New Roman"/>
                <w:b w:val="0"/>
                <w:sz w:val="20"/>
              </w:rPr>
              <w:t>1</w:t>
            </w:r>
          </w:p>
        </w:tc>
        <w:tc>
          <w:tcPr>
            <w:tcW w:type="dxa" w:w="1958"/>
            <w:vAlign w:val="center"/>
          </w:tcPr>
          <w:p>
            <w:pPr>
              <w:jc w:val="center"/>
            </w:pPr>
            <w:r/>
            <w:r>
              <w:rPr>
                <w:rFonts w:ascii="Times New Roman" w:hAnsi="Times New Roman"/>
                <w:b w:val="0"/>
                <w:sz w:val="20"/>
              </w:rPr>
              <w:t>3.84</w:t>
            </w:r>
          </w:p>
        </w:tc>
        <w:tc>
          <w:tcPr>
            <w:tcW w:type="dxa" w:w="1958"/>
            <w:vAlign w:val="center"/>
          </w:tcPr>
          <w:p>
            <w:pPr>
              <w:jc w:val="center"/>
            </w:pPr>
            <w:r/>
            <w:r>
              <w:rPr>
                <w:rFonts w:ascii="Times New Roman" w:hAnsi="Times New Roman"/>
                <w:b w:val="0"/>
                <w:sz w:val="20"/>
              </w:rPr>
              <w:t>Do not reject H₀</w:t>
            </w:r>
          </w:p>
        </w:tc>
      </w:tr>
      <w:tr>
        <w:tc>
          <w:tcPr>
            <w:tcW w:type="dxa" w:w="1958"/>
            <w:vAlign w:val="center"/>
          </w:tcPr>
          <w:p>
            <w:pPr>
              <w:jc w:val="center"/>
            </w:pPr>
            <w:r/>
            <w:r>
              <w:rPr>
                <w:rFonts w:ascii="Times New Roman" w:hAnsi="Times New Roman"/>
                <w:b w:val="0"/>
                <w:sz w:val="20"/>
              </w:rPr>
              <w:t>Learning-process satisfaction</w:t>
            </w:r>
          </w:p>
        </w:tc>
        <w:tc>
          <w:tcPr>
            <w:tcW w:type="dxa" w:w="1958"/>
            <w:vAlign w:val="center"/>
          </w:tcPr>
          <w:p>
            <w:pPr>
              <w:jc w:val="center"/>
            </w:pPr>
            <w:r/>
            <w:r>
              <w:rPr>
                <w:rFonts w:ascii="Times New Roman" w:hAnsi="Times New Roman"/>
                <w:b w:val="0"/>
                <w:sz w:val="20"/>
              </w:rPr>
              <w:t>0.31</w:t>
            </w:r>
          </w:p>
        </w:tc>
        <w:tc>
          <w:tcPr>
            <w:tcW w:type="dxa" w:w="1958"/>
            <w:vAlign w:val="center"/>
          </w:tcPr>
          <w:p>
            <w:pPr>
              <w:jc w:val="center"/>
            </w:pPr>
            <w:r/>
            <w:r>
              <w:rPr>
                <w:rFonts w:ascii="Times New Roman" w:hAnsi="Times New Roman"/>
                <w:b w:val="0"/>
                <w:sz w:val="20"/>
              </w:rPr>
              <w:t>1</w:t>
            </w:r>
          </w:p>
        </w:tc>
        <w:tc>
          <w:tcPr>
            <w:tcW w:type="dxa" w:w="1958"/>
            <w:vAlign w:val="center"/>
          </w:tcPr>
          <w:p>
            <w:pPr>
              <w:jc w:val="center"/>
            </w:pPr>
            <w:r/>
            <w:r>
              <w:rPr>
                <w:rFonts w:ascii="Times New Roman" w:hAnsi="Times New Roman"/>
                <w:b w:val="0"/>
                <w:sz w:val="20"/>
              </w:rPr>
              <w:t>3.84</w:t>
            </w:r>
          </w:p>
        </w:tc>
        <w:tc>
          <w:tcPr>
            <w:tcW w:type="dxa" w:w="1958"/>
            <w:vAlign w:val="center"/>
          </w:tcPr>
          <w:p>
            <w:pPr>
              <w:jc w:val="center"/>
            </w:pPr>
            <w:r/>
            <w:r>
              <w:rPr>
                <w:rFonts w:ascii="Times New Roman" w:hAnsi="Times New Roman"/>
                <w:b w:val="0"/>
                <w:sz w:val="20"/>
              </w:rPr>
              <w:t>Do not reject H₀</w:t>
            </w:r>
          </w:p>
        </w:tc>
      </w:tr>
    </w:tbl>
    <w:p/>
    <w:p>
      <w:pPr>
        <w:pStyle w:val="Heading2"/>
      </w:pPr>
      <w:r>
        <w:t>4.1 Assignment Completion and Academic Performance</w:t>
      </w:r>
    </w:p>
    <w:p>
      <w:r>
        <w:t>H₀₁: Assignment completion and academic performance are independent.</w:t>
      </w:r>
    </w:p>
    <w:p>
      <w:r>
        <w:t>H₁₁: Assignment completion and academic performance are not independent.</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448"/>
            <w:vAlign w:val="center"/>
          </w:tcPr>
          <w:p>
            <w:pPr>
              <w:jc w:val="center"/>
            </w:pPr>
            <w:r/>
            <w:r>
              <w:rPr>
                <w:rFonts w:ascii="Times New Roman" w:hAnsi="Times New Roman"/>
                <w:b/>
                <w:sz w:val="20"/>
              </w:rPr>
              <w:t>Assignment Completion</w:t>
            </w:r>
          </w:p>
        </w:tc>
        <w:tc>
          <w:tcPr>
            <w:tcW w:type="dxa" w:w="2448"/>
            <w:vAlign w:val="center"/>
          </w:tcPr>
          <w:p>
            <w:pPr>
              <w:jc w:val="center"/>
            </w:pPr>
            <w:r/>
            <w:r>
              <w:rPr>
                <w:rFonts w:ascii="Times New Roman" w:hAnsi="Times New Roman"/>
                <w:b/>
                <w:sz w:val="20"/>
              </w:rPr>
              <w:t>Below 70%</w:t>
            </w:r>
          </w:p>
        </w:tc>
        <w:tc>
          <w:tcPr>
            <w:tcW w:type="dxa" w:w="2448"/>
            <w:vAlign w:val="center"/>
          </w:tcPr>
          <w:p>
            <w:pPr>
              <w:jc w:val="center"/>
            </w:pPr>
            <w:r/>
            <w:r>
              <w:rPr>
                <w:rFonts w:ascii="Times New Roman" w:hAnsi="Times New Roman"/>
                <w:b/>
                <w:sz w:val="20"/>
              </w:rPr>
              <w:t>70% and above</w:t>
            </w:r>
          </w:p>
        </w:tc>
        <w:tc>
          <w:tcPr>
            <w:tcW w:type="dxa" w:w="2448"/>
            <w:vAlign w:val="center"/>
          </w:tcPr>
          <w:p>
            <w:pPr>
              <w:jc w:val="center"/>
            </w:pPr>
            <w:r/>
            <w:r>
              <w:rPr>
                <w:rFonts w:ascii="Times New Roman" w:hAnsi="Times New Roman"/>
                <w:b/>
                <w:sz w:val="20"/>
              </w:rPr>
              <w:t>Total</w:t>
            </w:r>
          </w:p>
        </w:tc>
      </w:tr>
      <w:tr>
        <w:tc>
          <w:tcPr>
            <w:tcW w:type="dxa" w:w="2448"/>
            <w:vAlign w:val="center"/>
          </w:tcPr>
          <w:p>
            <w:pPr>
              <w:jc w:val="center"/>
            </w:pPr>
            <w:r/>
            <w:r>
              <w:rPr>
                <w:rFonts w:ascii="Times New Roman" w:hAnsi="Times New Roman"/>
                <w:b w:val="0"/>
                <w:sz w:val="20"/>
              </w:rPr>
              <w:t>Rating 1–3</w:t>
            </w:r>
          </w:p>
        </w:tc>
        <w:tc>
          <w:tcPr>
            <w:tcW w:type="dxa" w:w="2448"/>
            <w:vAlign w:val="center"/>
          </w:tcPr>
          <w:p>
            <w:pPr>
              <w:jc w:val="center"/>
            </w:pPr>
            <w:r/>
            <w:r>
              <w:rPr>
                <w:rFonts w:ascii="Times New Roman" w:hAnsi="Times New Roman"/>
                <w:b w:val="0"/>
                <w:sz w:val="20"/>
              </w:rPr>
              <w:t>23</w:t>
            </w:r>
          </w:p>
        </w:tc>
        <w:tc>
          <w:tcPr>
            <w:tcW w:type="dxa" w:w="2448"/>
            <w:vAlign w:val="center"/>
          </w:tcPr>
          <w:p>
            <w:pPr>
              <w:jc w:val="center"/>
            </w:pPr>
            <w:r/>
            <w:r>
              <w:rPr>
                <w:rFonts w:ascii="Times New Roman" w:hAnsi="Times New Roman"/>
                <w:b w:val="0"/>
                <w:sz w:val="20"/>
              </w:rPr>
              <w:t>19</w:t>
            </w:r>
          </w:p>
        </w:tc>
        <w:tc>
          <w:tcPr>
            <w:tcW w:type="dxa" w:w="2448"/>
            <w:vAlign w:val="center"/>
          </w:tcPr>
          <w:p>
            <w:pPr>
              <w:jc w:val="center"/>
            </w:pPr>
            <w:r/>
            <w:r>
              <w:rPr>
                <w:rFonts w:ascii="Times New Roman" w:hAnsi="Times New Roman"/>
                <w:b w:val="0"/>
                <w:sz w:val="20"/>
              </w:rPr>
              <w:t>42</w:t>
            </w:r>
          </w:p>
        </w:tc>
      </w:tr>
      <w:tr>
        <w:tc>
          <w:tcPr>
            <w:tcW w:type="dxa" w:w="2448"/>
            <w:vAlign w:val="center"/>
          </w:tcPr>
          <w:p>
            <w:pPr>
              <w:jc w:val="center"/>
            </w:pPr>
            <w:r/>
            <w:r>
              <w:rPr>
                <w:rFonts w:ascii="Times New Roman" w:hAnsi="Times New Roman"/>
                <w:b w:val="0"/>
                <w:sz w:val="20"/>
              </w:rPr>
              <w:t>Rating 4–5</w:t>
            </w:r>
          </w:p>
        </w:tc>
        <w:tc>
          <w:tcPr>
            <w:tcW w:type="dxa" w:w="2448"/>
            <w:vAlign w:val="center"/>
          </w:tcPr>
          <w:p>
            <w:pPr>
              <w:jc w:val="center"/>
            </w:pPr>
            <w:r/>
            <w:r>
              <w:rPr>
                <w:rFonts w:ascii="Times New Roman" w:hAnsi="Times New Roman"/>
                <w:b w:val="0"/>
                <w:sz w:val="20"/>
              </w:rPr>
              <w:t>16</w:t>
            </w:r>
          </w:p>
        </w:tc>
        <w:tc>
          <w:tcPr>
            <w:tcW w:type="dxa" w:w="2448"/>
            <w:vAlign w:val="center"/>
          </w:tcPr>
          <w:p>
            <w:pPr>
              <w:jc w:val="center"/>
            </w:pPr>
            <w:r/>
            <w:r>
              <w:rPr>
                <w:rFonts w:ascii="Times New Roman" w:hAnsi="Times New Roman"/>
                <w:b w:val="0"/>
                <w:sz w:val="20"/>
              </w:rPr>
              <w:t>40</w:t>
            </w:r>
          </w:p>
        </w:tc>
        <w:tc>
          <w:tcPr>
            <w:tcW w:type="dxa" w:w="2448"/>
            <w:vAlign w:val="center"/>
          </w:tcPr>
          <w:p>
            <w:pPr>
              <w:jc w:val="center"/>
            </w:pPr>
            <w:r/>
            <w:r>
              <w:rPr>
                <w:rFonts w:ascii="Times New Roman" w:hAnsi="Times New Roman"/>
                <w:b w:val="0"/>
                <w:sz w:val="20"/>
              </w:rPr>
              <w:t>56</w:t>
            </w:r>
          </w:p>
        </w:tc>
      </w:tr>
      <w:tr>
        <w:tc>
          <w:tcPr>
            <w:tcW w:type="dxa" w:w="2448"/>
            <w:vAlign w:val="center"/>
          </w:tcPr>
          <w:p>
            <w:pPr>
              <w:jc w:val="center"/>
            </w:pPr>
            <w:r/>
            <w:r>
              <w:rPr>
                <w:rFonts w:ascii="Times New Roman" w:hAnsi="Times New Roman"/>
                <w:b w:val="0"/>
                <w:sz w:val="20"/>
              </w:rPr>
              <w:t>Total</w:t>
            </w:r>
          </w:p>
        </w:tc>
        <w:tc>
          <w:tcPr>
            <w:tcW w:type="dxa" w:w="2448"/>
            <w:vAlign w:val="center"/>
          </w:tcPr>
          <w:p>
            <w:pPr>
              <w:jc w:val="center"/>
            </w:pPr>
            <w:r/>
            <w:r>
              <w:rPr>
                <w:rFonts w:ascii="Times New Roman" w:hAnsi="Times New Roman"/>
                <w:b w:val="0"/>
                <w:sz w:val="20"/>
              </w:rPr>
              <w:t>39</w:t>
            </w:r>
          </w:p>
        </w:tc>
        <w:tc>
          <w:tcPr>
            <w:tcW w:type="dxa" w:w="2448"/>
            <w:vAlign w:val="center"/>
          </w:tcPr>
          <w:p>
            <w:pPr>
              <w:jc w:val="center"/>
            </w:pPr>
            <w:r/>
            <w:r>
              <w:rPr>
                <w:rFonts w:ascii="Times New Roman" w:hAnsi="Times New Roman"/>
                <w:b w:val="0"/>
                <w:sz w:val="20"/>
              </w:rPr>
              <w:t>59</w:t>
            </w:r>
          </w:p>
        </w:tc>
        <w:tc>
          <w:tcPr>
            <w:tcW w:type="dxa" w:w="2448"/>
            <w:vAlign w:val="center"/>
          </w:tcPr>
          <w:p>
            <w:pPr>
              <w:jc w:val="center"/>
            </w:pPr>
            <w:r/>
            <w:r>
              <w:rPr>
                <w:rFonts w:ascii="Times New Roman" w:hAnsi="Times New Roman"/>
                <w:b w:val="0"/>
                <w:sz w:val="20"/>
              </w:rPr>
              <w:t>98</w:t>
            </w:r>
          </w:p>
        </w:tc>
      </w:tr>
    </w:tbl>
    <w:p/>
    <w:tbl>
      <w:tblPr>
        <w:tblStyle w:val="TableGrid"/>
        <w:tblW w:type="auto" w:w="0"/>
        <w:jc w:val="center"/>
        <w:tblLook w:firstColumn="1" w:firstRow="1" w:lastColumn="0" w:lastRow="0" w:noHBand="0" w:noVBand="1" w:val="04A0"/>
      </w:tblPr>
      <w:tblGrid>
        <w:gridCol w:w="3264"/>
        <w:gridCol w:w="3264"/>
        <w:gridCol w:w="3264"/>
      </w:tblGrid>
      <w:tr>
        <w:tc>
          <w:tcPr>
            <w:tcW w:type="dxa" w:w="3264"/>
            <w:vAlign w:val="center"/>
          </w:tcPr>
          <w:p>
            <w:pPr>
              <w:jc w:val="center"/>
            </w:pPr>
            <w:r/>
            <w:r>
              <w:rPr>
                <w:rFonts w:ascii="Times New Roman" w:hAnsi="Times New Roman"/>
                <w:b/>
                <w:sz w:val="20"/>
              </w:rPr>
              <w:t>Assignment Completion</w:t>
            </w:r>
          </w:p>
        </w:tc>
        <w:tc>
          <w:tcPr>
            <w:tcW w:type="dxa" w:w="3264"/>
            <w:vAlign w:val="center"/>
          </w:tcPr>
          <w:p>
            <w:pPr>
              <w:jc w:val="center"/>
            </w:pPr>
            <w:r/>
            <w:r>
              <w:rPr>
                <w:rFonts w:ascii="Times New Roman" w:hAnsi="Times New Roman"/>
                <w:b/>
                <w:sz w:val="20"/>
              </w:rPr>
              <w:t>Below 70%</w:t>
            </w:r>
          </w:p>
        </w:tc>
        <w:tc>
          <w:tcPr>
            <w:tcW w:type="dxa" w:w="3264"/>
            <w:vAlign w:val="center"/>
          </w:tcPr>
          <w:p>
            <w:pPr>
              <w:jc w:val="center"/>
            </w:pPr>
            <w:r/>
            <w:r>
              <w:rPr>
                <w:rFonts w:ascii="Times New Roman" w:hAnsi="Times New Roman"/>
                <w:b/>
                <w:sz w:val="20"/>
              </w:rPr>
              <w:t>70% and above</w:t>
            </w:r>
          </w:p>
        </w:tc>
      </w:tr>
      <w:tr>
        <w:tc>
          <w:tcPr>
            <w:tcW w:type="dxa" w:w="3264"/>
            <w:vAlign w:val="center"/>
          </w:tcPr>
          <w:p>
            <w:pPr>
              <w:jc w:val="center"/>
            </w:pPr>
            <w:r/>
            <w:r>
              <w:rPr>
                <w:rFonts w:ascii="Times New Roman" w:hAnsi="Times New Roman"/>
                <w:b w:val="0"/>
                <w:sz w:val="20"/>
              </w:rPr>
              <w:t>Rating 1–3</w:t>
            </w:r>
          </w:p>
        </w:tc>
        <w:tc>
          <w:tcPr>
            <w:tcW w:type="dxa" w:w="3264"/>
            <w:vAlign w:val="center"/>
          </w:tcPr>
          <w:p>
            <w:pPr>
              <w:jc w:val="center"/>
            </w:pPr>
            <w:r/>
            <w:r>
              <w:rPr>
                <w:rFonts w:ascii="Times New Roman" w:hAnsi="Times New Roman"/>
                <w:b w:val="0"/>
                <w:sz w:val="20"/>
              </w:rPr>
              <w:t>16.71</w:t>
            </w:r>
          </w:p>
        </w:tc>
        <w:tc>
          <w:tcPr>
            <w:tcW w:type="dxa" w:w="3264"/>
            <w:vAlign w:val="center"/>
          </w:tcPr>
          <w:p>
            <w:pPr>
              <w:jc w:val="center"/>
            </w:pPr>
            <w:r/>
            <w:r>
              <w:rPr>
                <w:rFonts w:ascii="Times New Roman" w:hAnsi="Times New Roman"/>
                <w:b w:val="0"/>
                <w:sz w:val="20"/>
              </w:rPr>
              <w:t>25.29</w:t>
            </w:r>
          </w:p>
        </w:tc>
      </w:tr>
      <w:tr>
        <w:tc>
          <w:tcPr>
            <w:tcW w:type="dxa" w:w="3264"/>
            <w:vAlign w:val="center"/>
          </w:tcPr>
          <w:p>
            <w:pPr>
              <w:jc w:val="center"/>
            </w:pPr>
            <w:r/>
            <w:r>
              <w:rPr>
                <w:rFonts w:ascii="Times New Roman" w:hAnsi="Times New Roman"/>
                <w:b w:val="0"/>
                <w:sz w:val="20"/>
              </w:rPr>
              <w:t>Rating 4–5</w:t>
            </w:r>
          </w:p>
        </w:tc>
        <w:tc>
          <w:tcPr>
            <w:tcW w:type="dxa" w:w="3264"/>
            <w:vAlign w:val="center"/>
          </w:tcPr>
          <w:p>
            <w:pPr>
              <w:jc w:val="center"/>
            </w:pPr>
            <w:r/>
            <w:r>
              <w:rPr>
                <w:rFonts w:ascii="Times New Roman" w:hAnsi="Times New Roman"/>
                <w:b w:val="0"/>
                <w:sz w:val="20"/>
              </w:rPr>
              <w:t>22.29</w:t>
            </w:r>
          </w:p>
        </w:tc>
        <w:tc>
          <w:tcPr>
            <w:tcW w:type="dxa" w:w="3264"/>
            <w:vAlign w:val="center"/>
          </w:tcPr>
          <w:p>
            <w:pPr>
              <w:jc w:val="center"/>
            </w:pPr>
            <w:r/>
            <w:r>
              <w:rPr>
                <w:rFonts w:ascii="Times New Roman" w:hAnsi="Times New Roman"/>
                <w:b w:val="0"/>
                <w:sz w:val="20"/>
              </w:rPr>
              <w:t>33.71</w:t>
            </w:r>
          </w:p>
        </w:tc>
      </w:tr>
    </w:tbl>
    <w:p/>
    <w:p>
      <w:r>
        <w:t>The reported Chi-square statistic is χ² = 6.87 with 1 degree of freedom. Since 6.87 &gt; 3.84, the null hypothesis is rejected. Thus, assignment completion and academic performance are not statistically independent in the collected sample.</w:t>
      </w:r>
    </w:p>
    <w:p>
      <w:pPr>
        <w:pStyle w:val="Heading2"/>
      </w:pPr>
      <w:r>
        <w:t>4.2 Use of Online Learning Resources and Academic Performance</w:t>
      </w:r>
    </w:p>
    <w:p>
      <w:r>
        <w:t>H₀₂: Use of online learning resources and academic performance are independent.</w:t>
      </w:r>
    </w:p>
    <w:p>
      <w:r>
        <w:t>H₁₂: Use of online learning resources and academic performance are not independent.</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448"/>
            <w:vAlign w:val="center"/>
          </w:tcPr>
          <w:p>
            <w:pPr>
              <w:jc w:val="center"/>
            </w:pPr>
            <w:r/>
            <w:r>
              <w:rPr>
                <w:rFonts w:ascii="Times New Roman" w:hAnsi="Times New Roman"/>
                <w:b/>
                <w:sz w:val="20"/>
              </w:rPr>
              <w:t>Online Resource Use</w:t>
            </w:r>
          </w:p>
        </w:tc>
        <w:tc>
          <w:tcPr>
            <w:tcW w:type="dxa" w:w="2448"/>
            <w:vAlign w:val="center"/>
          </w:tcPr>
          <w:p>
            <w:pPr>
              <w:jc w:val="center"/>
            </w:pPr>
            <w:r/>
            <w:r>
              <w:rPr>
                <w:rFonts w:ascii="Times New Roman" w:hAnsi="Times New Roman"/>
                <w:b/>
                <w:sz w:val="20"/>
              </w:rPr>
              <w:t>Below 70%</w:t>
            </w:r>
          </w:p>
        </w:tc>
        <w:tc>
          <w:tcPr>
            <w:tcW w:type="dxa" w:w="2448"/>
            <w:vAlign w:val="center"/>
          </w:tcPr>
          <w:p>
            <w:pPr>
              <w:jc w:val="center"/>
            </w:pPr>
            <w:r/>
            <w:r>
              <w:rPr>
                <w:rFonts w:ascii="Times New Roman" w:hAnsi="Times New Roman"/>
                <w:b/>
                <w:sz w:val="20"/>
              </w:rPr>
              <w:t>70% and above</w:t>
            </w:r>
          </w:p>
        </w:tc>
        <w:tc>
          <w:tcPr>
            <w:tcW w:type="dxa" w:w="2448"/>
            <w:vAlign w:val="center"/>
          </w:tcPr>
          <w:p>
            <w:pPr>
              <w:jc w:val="center"/>
            </w:pPr>
            <w:r/>
            <w:r>
              <w:rPr>
                <w:rFonts w:ascii="Times New Roman" w:hAnsi="Times New Roman"/>
                <w:b/>
                <w:sz w:val="20"/>
              </w:rPr>
              <w:t>Total</w:t>
            </w:r>
          </w:p>
        </w:tc>
      </w:tr>
      <w:tr>
        <w:tc>
          <w:tcPr>
            <w:tcW w:type="dxa" w:w="2448"/>
            <w:vAlign w:val="center"/>
          </w:tcPr>
          <w:p>
            <w:pPr>
              <w:jc w:val="center"/>
            </w:pPr>
            <w:r/>
            <w:r>
              <w:rPr>
                <w:rFonts w:ascii="Times New Roman" w:hAnsi="Times New Roman"/>
                <w:b w:val="0"/>
                <w:sz w:val="20"/>
              </w:rPr>
              <w:t>Rating 1–3</w:t>
            </w:r>
          </w:p>
        </w:tc>
        <w:tc>
          <w:tcPr>
            <w:tcW w:type="dxa" w:w="2448"/>
            <w:vAlign w:val="center"/>
          </w:tcPr>
          <w:p>
            <w:pPr>
              <w:jc w:val="center"/>
            </w:pPr>
            <w:r/>
            <w:r>
              <w:rPr>
                <w:rFonts w:ascii="Times New Roman" w:hAnsi="Times New Roman"/>
                <w:b w:val="0"/>
                <w:sz w:val="20"/>
              </w:rPr>
              <w:t>29</w:t>
            </w:r>
          </w:p>
        </w:tc>
        <w:tc>
          <w:tcPr>
            <w:tcW w:type="dxa" w:w="2448"/>
            <w:vAlign w:val="center"/>
          </w:tcPr>
          <w:p>
            <w:pPr>
              <w:jc w:val="center"/>
            </w:pPr>
            <w:r/>
            <w:r>
              <w:rPr>
                <w:rFonts w:ascii="Times New Roman" w:hAnsi="Times New Roman"/>
                <w:b w:val="0"/>
                <w:sz w:val="20"/>
              </w:rPr>
              <w:t>13</w:t>
            </w:r>
          </w:p>
        </w:tc>
        <w:tc>
          <w:tcPr>
            <w:tcW w:type="dxa" w:w="2448"/>
            <w:vAlign w:val="center"/>
          </w:tcPr>
          <w:p>
            <w:pPr>
              <w:jc w:val="center"/>
            </w:pPr>
            <w:r/>
            <w:r>
              <w:rPr>
                <w:rFonts w:ascii="Times New Roman" w:hAnsi="Times New Roman"/>
                <w:b w:val="0"/>
                <w:sz w:val="20"/>
              </w:rPr>
              <w:t>42</w:t>
            </w:r>
          </w:p>
        </w:tc>
      </w:tr>
      <w:tr>
        <w:tc>
          <w:tcPr>
            <w:tcW w:type="dxa" w:w="2448"/>
            <w:vAlign w:val="center"/>
          </w:tcPr>
          <w:p>
            <w:pPr>
              <w:jc w:val="center"/>
            </w:pPr>
            <w:r/>
            <w:r>
              <w:rPr>
                <w:rFonts w:ascii="Times New Roman" w:hAnsi="Times New Roman"/>
                <w:b w:val="0"/>
                <w:sz w:val="20"/>
              </w:rPr>
              <w:t>Rating 4–5</w:t>
            </w:r>
          </w:p>
        </w:tc>
        <w:tc>
          <w:tcPr>
            <w:tcW w:type="dxa" w:w="2448"/>
            <w:vAlign w:val="center"/>
          </w:tcPr>
          <w:p>
            <w:pPr>
              <w:jc w:val="center"/>
            </w:pPr>
            <w:r/>
            <w:r>
              <w:rPr>
                <w:rFonts w:ascii="Times New Roman" w:hAnsi="Times New Roman"/>
                <w:b w:val="0"/>
                <w:sz w:val="20"/>
              </w:rPr>
              <w:t>24</w:t>
            </w:r>
          </w:p>
        </w:tc>
        <w:tc>
          <w:tcPr>
            <w:tcW w:type="dxa" w:w="2448"/>
            <w:vAlign w:val="center"/>
          </w:tcPr>
          <w:p>
            <w:pPr>
              <w:jc w:val="center"/>
            </w:pPr>
            <w:r/>
            <w:r>
              <w:rPr>
                <w:rFonts w:ascii="Times New Roman" w:hAnsi="Times New Roman"/>
                <w:b w:val="0"/>
                <w:sz w:val="20"/>
              </w:rPr>
              <w:t>32</w:t>
            </w:r>
          </w:p>
        </w:tc>
        <w:tc>
          <w:tcPr>
            <w:tcW w:type="dxa" w:w="2448"/>
            <w:vAlign w:val="center"/>
          </w:tcPr>
          <w:p>
            <w:pPr>
              <w:jc w:val="center"/>
            </w:pPr>
            <w:r/>
            <w:r>
              <w:rPr>
                <w:rFonts w:ascii="Times New Roman" w:hAnsi="Times New Roman"/>
                <w:b w:val="0"/>
                <w:sz w:val="20"/>
              </w:rPr>
              <w:t>56</w:t>
            </w:r>
          </w:p>
        </w:tc>
      </w:tr>
      <w:tr>
        <w:tc>
          <w:tcPr>
            <w:tcW w:type="dxa" w:w="2448"/>
            <w:vAlign w:val="center"/>
          </w:tcPr>
          <w:p>
            <w:pPr>
              <w:jc w:val="center"/>
            </w:pPr>
            <w:r/>
            <w:r>
              <w:rPr>
                <w:rFonts w:ascii="Times New Roman" w:hAnsi="Times New Roman"/>
                <w:b w:val="0"/>
                <w:sz w:val="20"/>
              </w:rPr>
              <w:t>Total</w:t>
            </w:r>
          </w:p>
        </w:tc>
        <w:tc>
          <w:tcPr>
            <w:tcW w:type="dxa" w:w="2448"/>
            <w:vAlign w:val="center"/>
          </w:tcPr>
          <w:p>
            <w:pPr>
              <w:jc w:val="center"/>
            </w:pPr>
            <w:r/>
            <w:r>
              <w:rPr>
                <w:rFonts w:ascii="Times New Roman" w:hAnsi="Times New Roman"/>
                <w:b w:val="0"/>
                <w:sz w:val="20"/>
              </w:rPr>
              <w:t>53</w:t>
            </w:r>
          </w:p>
        </w:tc>
        <w:tc>
          <w:tcPr>
            <w:tcW w:type="dxa" w:w="2448"/>
            <w:vAlign w:val="center"/>
          </w:tcPr>
          <w:p>
            <w:pPr>
              <w:jc w:val="center"/>
            </w:pPr>
            <w:r/>
            <w:r>
              <w:rPr>
                <w:rFonts w:ascii="Times New Roman" w:hAnsi="Times New Roman"/>
                <w:b w:val="0"/>
                <w:sz w:val="20"/>
              </w:rPr>
              <w:t>45</w:t>
            </w:r>
          </w:p>
        </w:tc>
        <w:tc>
          <w:tcPr>
            <w:tcW w:type="dxa" w:w="2448"/>
            <w:vAlign w:val="center"/>
          </w:tcPr>
          <w:p>
            <w:pPr>
              <w:jc w:val="center"/>
            </w:pPr>
            <w:r/>
            <w:r>
              <w:rPr>
                <w:rFonts w:ascii="Times New Roman" w:hAnsi="Times New Roman"/>
                <w:b w:val="0"/>
                <w:sz w:val="20"/>
              </w:rPr>
              <w:t>98</w:t>
            </w:r>
          </w:p>
        </w:tc>
      </w:tr>
    </w:tbl>
    <w:p/>
    <w:tbl>
      <w:tblPr>
        <w:tblStyle w:val="TableGrid"/>
        <w:tblW w:type="auto" w:w="0"/>
        <w:jc w:val="center"/>
        <w:tblLook w:firstColumn="1" w:firstRow="1" w:lastColumn="0" w:lastRow="0" w:noHBand="0" w:noVBand="1" w:val="04A0"/>
      </w:tblPr>
      <w:tblGrid>
        <w:gridCol w:w="3264"/>
        <w:gridCol w:w="3264"/>
        <w:gridCol w:w="3264"/>
      </w:tblGrid>
      <w:tr>
        <w:tc>
          <w:tcPr>
            <w:tcW w:type="dxa" w:w="3264"/>
            <w:vAlign w:val="center"/>
          </w:tcPr>
          <w:p>
            <w:pPr>
              <w:jc w:val="center"/>
            </w:pPr>
            <w:r/>
            <w:r>
              <w:rPr>
                <w:rFonts w:ascii="Times New Roman" w:hAnsi="Times New Roman"/>
                <w:b/>
                <w:sz w:val="20"/>
              </w:rPr>
              <w:t>Online Resource Use</w:t>
            </w:r>
          </w:p>
        </w:tc>
        <w:tc>
          <w:tcPr>
            <w:tcW w:type="dxa" w:w="3264"/>
            <w:vAlign w:val="center"/>
          </w:tcPr>
          <w:p>
            <w:pPr>
              <w:jc w:val="center"/>
            </w:pPr>
            <w:r/>
            <w:r>
              <w:rPr>
                <w:rFonts w:ascii="Times New Roman" w:hAnsi="Times New Roman"/>
                <w:b/>
                <w:sz w:val="20"/>
              </w:rPr>
              <w:t>Below 70%</w:t>
            </w:r>
          </w:p>
        </w:tc>
        <w:tc>
          <w:tcPr>
            <w:tcW w:type="dxa" w:w="3264"/>
            <w:vAlign w:val="center"/>
          </w:tcPr>
          <w:p>
            <w:pPr>
              <w:jc w:val="center"/>
            </w:pPr>
            <w:r/>
            <w:r>
              <w:rPr>
                <w:rFonts w:ascii="Times New Roman" w:hAnsi="Times New Roman"/>
                <w:b/>
                <w:sz w:val="20"/>
              </w:rPr>
              <w:t>70% and above</w:t>
            </w:r>
          </w:p>
        </w:tc>
      </w:tr>
      <w:tr>
        <w:tc>
          <w:tcPr>
            <w:tcW w:type="dxa" w:w="3264"/>
            <w:vAlign w:val="center"/>
          </w:tcPr>
          <w:p>
            <w:pPr>
              <w:jc w:val="center"/>
            </w:pPr>
            <w:r/>
            <w:r>
              <w:rPr>
                <w:rFonts w:ascii="Times New Roman" w:hAnsi="Times New Roman"/>
                <w:b w:val="0"/>
                <w:sz w:val="20"/>
              </w:rPr>
              <w:t>Rating 1–3</w:t>
            </w:r>
          </w:p>
        </w:tc>
        <w:tc>
          <w:tcPr>
            <w:tcW w:type="dxa" w:w="3264"/>
            <w:vAlign w:val="center"/>
          </w:tcPr>
          <w:p>
            <w:pPr>
              <w:jc w:val="center"/>
            </w:pPr>
            <w:r/>
            <w:r>
              <w:rPr>
                <w:rFonts w:ascii="Times New Roman" w:hAnsi="Times New Roman"/>
                <w:b w:val="0"/>
                <w:sz w:val="20"/>
              </w:rPr>
              <w:t>22.71</w:t>
            </w:r>
          </w:p>
        </w:tc>
        <w:tc>
          <w:tcPr>
            <w:tcW w:type="dxa" w:w="3264"/>
            <w:vAlign w:val="center"/>
          </w:tcPr>
          <w:p>
            <w:pPr>
              <w:jc w:val="center"/>
            </w:pPr>
            <w:r/>
            <w:r>
              <w:rPr>
                <w:rFonts w:ascii="Times New Roman" w:hAnsi="Times New Roman"/>
                <w:b w:val="0"/>
                <w:sz w:val="20"/>
              </w:rPr>
              <w:t>19.29</w:t>
            </w:r>
          </w:p>
        </w:tc>
      </w:tr>
      <w:tr>
        <w:tc>
          <w:tcPr>
            <w:tcW w:type="dxa" w:w="3264"/>
            <w:vAlign w:val="center"/>
          </w:tcPr>
          <w:p>
            <w:pPr>
              <w:jc w:val="center"/>
            </w:pPr>
            <w:r/>
            <w:r>
              <w:rPr>
                <w:rFonts w:ascii="Times New Roman" w:hAnsi="Times New Roman"/>
                <w:b w:val="0"/>
                <w:sz w:val="20"/>
              </w:rPr>
              <w:t>Rating 4–5</w:t>
            </w:r>
          </w:p>
        </w:tc>
        <w:tc>
          <w:tcPr>
            <w:tcW w:type="dxa" w:w="3264"/>
            <w:vAlign w:val="center"/>
          </w:tcPr>
          <w:p>
            <w:pPr>
              <w:jc w:val="center"/>
            </w:pPr>
            <w:r/>
            <w:r>
              <w:rPr>
                <w:rFonts w:ascii="Times New Roman" w:hAnsi="Times New Roman"/>
                <w:b w:val="0"/>
                <w:sz w:val="20"/>
              </w:rPr>
              <w:t>30.29</w:t>
            </w:r>
          </w:p>
        </w:tc>
        <w:tc>
          <w:tcPr>
            <w:tcW w:type="dxa" w:w="3264"/>
            <w:vAlign w:val="center"/>
          </w:tcPr>
          <w:p>
            <w:pPr>
              <w:jc w:val="center"/>
            </w:pPr>
            <w:r/>
            <w:r>
              <w:rPr>
                <w:rFonts w:ascii="Times New Roman" w:hAnsi="Times New Roman"/>
                <w:b w:val="0"/>
                <w:sz w:val="20"/>
              </w:rPr>
              <w:t>25.71</w:t>
            </w:r>
          </w:p>
        </w:tc>
      </w:tr>
    </w:tbl>
    <w:p/>
    <w:p>
      <w:r>
        <w:t>The reported Chi-square statistic is χ² = 6.63 with 1 degree of freedom. Since 6.63 &gt; 3.84, the null hypothesis is rejected. Therefore, online learning resource use and academic performance are not statistically independent in the collected sample.</w:t>
      </w:r>
    </w:p>
    <w:p>
      <w:pPr>
        <w:pStyle w:val="Heading2"/>
      </w:pPr>
      <w:r>
        <w:t>4.3 Subject Understanding and Academic Performance</w:t>
      </w:r>
    </w:p>
    <w:p>
      <w:r>
        <w:t>H₀₃: Subject understanding and academic performance are independent.</w:t>
      </w:r>
    </w:p>
    <w:p>
      <w:r>
        <w:t>H₁₃: Subject understanding and academic performance are not independent.</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448"/>
            <w:vAlign w:val="center"/>
          </w:tcPr>
          <w:p>
            <w:pPr>
              <w:jc w:val="center"/>
            </w:pPr>
            <w:r/>
            <w:r>
              <w:rPr>
                <w:rFonts w:ascii="Times New Roman" w:hAnsi="Times New Roman"/>
                <w:b/>
                <w:sz w:val="20"/>
              </w:rPr>
              <w:t>Subject Understanding</w:t>
            </w:r>
          </w:p>
        </w:tc>
        <w:tc>
          <w:tcPr>
            <w:tcW w:type="dxa" w:w="2448"/>
            <w:vAlign w:val="center"/>
          </w:tcPr>
          <w:p>
            <w:pPr>
              <w:jc w:val="center"/>
            </w:pPr>
            <w:r/>
            <w:r>
              <w:rPr>
                <w:rFonts w:ascii="Times New Roman" w:hAnsi="Times New Roman"/>
                <w:b/>
                <w:sz w:val="20"/>
              </w:rPr>
              <w:t>Below 70%</w:t>
            </w:r>
          </w:p>
        </w:tc>
        <w:tc>
          <w:tcPr>
            <w:tcW w:type="dxa" w:w="2448"/>
            <w:vAlign w:val="center"/>
          </w:tcPr>
          <w:p>
            <w:pPr>
              <w:jc w:val="center"/>
            </w:pPr>
            <w:r/>
            <w:r>
              <w:rPr>
                <w:rFonts w:ascii="Times New Roman" w:hAnsi="Times New Roman"/>
                <w:b/>
                <w:sz w:val="20"/>
              </w:rPr>
              <w:t>70% and above</w:t>
            </w:r>
          </w:p>
        </w:tc>
        <w:tc>
          <w:tcPr>
            <w:tcW w:type="dxa" w:w="2448"/>
            <w:vAlign w:val="center"/>
          </w:tcPr>
          <w:p>
            <w:pPr>
              <w:jc w:val="center"/>
            </w:pPr>
            <w:r/>
            <w:r>
              <w:rPr>
                <w:rFonts w:ascii="Times New Roman" w:hAnsi="Times New Roman"/>
                <w:b/>
                <w:sz w:val="20"/>
              </w:rPr>
              <w:t>Total</w:t>
            </w:r>
          </w:p>
        </w:tc>
      </w:tr>
      <w:tr>
        <w:tc>
          <w:tcPr>
            <w:tcW w:type="dxa" w:w="2448"/>
            <w:vAlign w:val="center"/>
          </w:tcPr>
          <w:p>
            <w:pPr>
              <w:jc w:val="center"/>
            </w:pPr>
            <w:r/>
            <w:r>
              <w:rPr>
                <w:rFonts w:ascii="Times New Roman" w:hAnsi="Times New Roman"/>
                <w:b w:val="0"/>
                <w:sz w:val="20"/>
              </w:rPr>
              <w:t>Rating 1–3</w:t>
            </w:r>
          </w:p>
        </w:tc>
        <w:tc>
          <w:tcPr>
            <w:tcW w:type="dxa" w:w="2448"/>
            <w:vAlign w:val="center"/>
          </w:tcPr>
          <w:p>
            <w:pPr>
              <w:jc w:val="center"/>
            </w:pPr>
            <w:r/>
            <w:r>
              <w:rPr>
                <w:rFonts w:ascii="Times New Roman" w:hAnsi="Times New Roman"/>
                <w:b w:val="0"/>
                <w:sz w:val="20"/>
              </w:rPr>
              <w:t>30</w:t>
            </w:r>
          </w:p>
        </w:tc>
        <w:tc>
          <w:tcPr>
            <w:tcW w:type="dxa" w:w="2448"/>
            <w:vAlign w:val="center"/>
          </w:tcPr>
          <w:p>
            <w:pPr>
              <w:jc w:val="center"/>
            </w:pPr>
            <w:r/>
            <w:r>
              <w:rPr>
                <w:rFonts w:ascii="Times New Roman" w:hAnsi="Times New Roman"/>
                <w:b w:val="0"/>
                <w:sz w:val="20"/>
              </w:rPr>
              <w:t>12</w:t>
            </w:r>
          </w:p>
        </w:tc>
        <w:tc>
          <w:tcPr>
            <w:tcW w:type="dxa" w:w="2448"/>
            <w:vAlign w:val="center"/>
          </w:tcPr>
          <w:p>
            <w:pPr>
              <w:jc w:val="center"/>
            </w:pPr>
            <w:r/>
            <w:r>
              <w:rPr>
                <w:rFonts w:ascii="Times New Roman" w:hAnsi="Times New Roman"/>
                <w:b w:val="0"/>
                <w:sz w:val="20"/>
              </w:rPr>
              <w:t>42</w:t>
            </w:r>
          </w:p>
        </w:tc>
      </w:tr>
      <w:tr>
        <w:tc>
          <w:tcPr>
            <w:tcW w:type="dxa" w:w="2448"/>
            <w:vAlign w:val="center"/>
          </w:tcPr>
          <w:p>
            <w:pPr>
              <w:jc w:val="center"/>
            </w:pPr>
            <w:r/>
            <w:r>
              <w:rPr>
                <w:rFonts w:ascii="Times New Roman" w:hAnsi="Times New Roman"/>
                <w:b w:val="0"/>
                <w:sz w:val="20"/>
              </w:rPr>
              <w:t>Rating 4–5</w:t>
            </w:r>
          </w:p>
        </w:tc>
        <w:tc>
          <w:tcPr>
            <w:tcW w:type="dxa" w:w="2448"/>
            <w:vAlign w:val="center"/>
          </w:tcPr>
          <w:p>
            <w:pPr>
              <w:jc w:val="center"/>
            </w:pPr>
            <w:r/>
            <w:r>
              <w:rPr>
                <w:rFonts w:ascii="Times New Roman" w:hAnsi="Times New Roman"/>
                <w:b w:val="0"/>
                <w:sz w:val="20"/>
              </w:rPr>
              <w:t>25</w:t>
            </w:r>
          </w:p>
        </w:tc>
        <w:tc>
          <w:tcPr>
            <w:tcW w:type="dxa" w:w="2448"/>
            <w:vAlign w:val="center"/>
          </w:tcPr>
          <w:p>
            <w:pPr>
              <w:jc w:val="center"/>
            </w:pPr>
            <w:r/>
            <w:r>
              <w:rPr>
                <w:rFonts w:ascii="Times New Roman" w:hAnsi="Times New Roman"/>
                <w:b w:val="0"/>
                <w:sz w:val="20"/>
              </w:rPr>
              <w:t>31</w:t>
            </w:r>
          </w:p>
        </w:tc>
        <w:tc>
          <w:tcPr>
            <w:tcW w:type="dxa" w:w="2448"/>
            <w:vAlign w:val="center"/>
          </w:tcPr>
          <w:p>
            <w:pPr>
              <w:jc w:val="center"/>
            </w:pPr>
            <w:r/>
            <w:r>
              <w:rPr>
                <w:rFonts w:ascii="Times New Roman" w:hAnsi="Times New Roman"/>
                <w:b w:val="0"/>
                <w:sz w:val="20"/>
              </w:rPr>
              <w:t>56</w:t>
            </w:r>
          </w:p>
        </w:tc>
      </w:tr>
      <w:tr>
        <w:tc>
          <w:tcPr>
            <w:tcW w:type="dxa" w:w="2448"/>
            <w:vAlign w:val="center"/>
          </w:tcPr>
          <w:p>
            <w:pPr>
              <w:jc w:val="center"/>
            </w:pPr>
            <w:r/>
            <w:r>
              <w:rPr>
                <w:rFonts w:ascii="Times New Roman" w:hAnsi="Times New Roman"/>
                <w:b w:val="0"/>
                <w:sz w:val="20"/>
              </w:rPr>
              <w:t>Total</w:t>
            </w:r>
          </w:p>
        </w:tc>
        <w:tc>
          <w:tcPr>
            <w:tcW w:type="dxa" w:w="2448"/>
            <w:vAlign w:val="center"/>
          </w:tcPr>
          <w:p>
            <w:pPr>
              <w:jc w:val="center"/>
            </w:pPr>
            <w:r/>
            <w:r>
              <w:rPr>
                <w:rFonts w:ascii="Times New Roman" w:hAnsi="Times New Roman"/>
                <w:b w:val="0"/>
                <w:sz w:val="20"/>
              </w:rPr>
              <w:t>55</w:t>
            </w:r>
          </w:p>
        </w:tc>
        <w:tc>
          <w:tcPr>
            <w:tcW w:type="dxa" w:w="2448"/>
            <w:vAlign w:val="center"/>
          </w:tcPr>
          <w:p>
            <w:pPr>
              <w:jc w:val="center"/>
            </w:pPr>
            <w:r/>
            <w:r>
              <w:rPr>
                <w:rFonts w:ascii="Times New Roman" w:hAnsi="Times New Roman"/>
                <w:b w:val="0"/>
                <w:sz w:val="20"/>
              </w:rPr>
              <w:t>43</w:t>
            </w:r>
          </w:p>
        </w:tc>
        <w:tc>
          <w:tcPr>
            <w:tcW w:type="dxa" w:w="2448"/>
            <w:vAlign w:val="center"/>
          </w:tcPr>
          <w:p>
            <w:pPr>
              <w:jc w:val="center"/>
            </w:pPr>
            <w:r/>
            <w:r>
              <w:rPr>
                <w:rFonts w:ascii="Times New Roman" w:hAnsi="Times New Roman"/>
                <w:b w:val="0"/>
                <w:sz w:val="20"/>
              </w:rPr>
              <w:t>98</w:t>
            </w:r>
          </w:p>
        </w:tc>
      </w:tr>
    </w:tbl>
    <w:p/>
    <w:tbl>
      <w:tblPr>
        <w:tblStyle w:val="TableGrid"/>
        <w:tblW w:type="auto" w:w="0"/>
        <w:jc w:val="center"/>
        <w:tblLook w:firstColumn="1" w:firstRow="1" w:lastColumn="0" w:lastRow="0" w:noHBand="0" w:noVBand="1" w:val="04A0"/>
      </w:tblPr>
      <w:tblGrid>
        <w:gridCol w:w="3264"/>
        <w:gridCol w:w="3264"/>
        <w:gridCol w:w="3264"/>
      </w:tblGrid>
      <w:tr>
        <w:tc>
          <w:tcPr>
            <w:tcW w:type="dxa" w:w="3264"/>
            <w:vAlign w:val="center"/>
          </w:tcPr>
          <w:p>
            <w:pPr>
              <w:jc w:val="center"/>
            </w:pPr>
            <w:r/>
            <w:r>
              <w:rPr>
                <w:rFonts w:ascii="Times New Roman" w:hAnsi="Times New Roman"/>
                <w:b/>
                <w:sz w:val="20"/>
              </w:rPr>
              <w:t>Subject Understanding</w:t>
            </w:r>
          </w:p>
        </w:tc>
        <w:tc>
          <w:tcPr>
            <w:tcW w:type="dxa" w:w="3264"/>
            <w:vAlign w:val="center"/>
          </w:tcPr>
          <w:p>
            <w:pPr>
              <w:jc w:val="center"/>
            </w:pPr>
            <w:r/>
            <w:r>
              <w:rPr>
                <w:rFonts w:ascii="Times New Roman" w:hAnsi="Times New Roman"/>
                <w:b/>
                <w:sz w:val="20"/>
              </w:rPr>
              <w:t>Below 70%</w:t>
            </w:r>
          </w:p>
        </w:tc>
        <w:tc>
          <w:tcPr>
            <w:tcW w:type="dxa" w:w="3264"/>
            <w:vAlign w:val="center"/>
          </w:tcPr>
          <w:p>
            <w:pPr>
              <w:jc w:val="center"/>
            </w:pPr>
            <w:r/>
            <w:r>
              <w:rPr>
                <w:rFonts w:ascii="Times New Roman" w:hAnsi="Times New Roman"/>
                <w:b/>
                <w:sz w:val="20"/>
              </w:rPr>
              <w:t>70% and above</w:t>
            </w:r>
          </w:p>
        </w:tc>
      </w:tr>
      <w:tr>
        <w:tc>
          <w:tcPr>
            <w:tcW w:type="dxa" w:w="3264"/>
            <w:vAlign w:val="center"/>
          </w:tcPr>
          <w:p>
            <w:pPr>
              <w:jc w:val="center"/>
            </w:pPr>
            <w:r/>
            <w:r>
              <w:rPr>
                <w:rFonts w:ascii="Times New Roman" w:hAnsi="Times New Roman"/>
                <w:b w:val="0"/>
                <w:sz w:val="20"/>
              </w:rPr>
              <w:t>Rating 1–3</w:t>
            </w:r>
          </w:p>
        </w:tc>
        <w:tc>
          <w:tcPr>
            <w:tcW w:type="dxa" w:w="3264"/>
            <w:vAlign w:val="center"/>
          </w:tcPr>
          <w:p>
            <w:pPr>
              <w:jc w:val="center"/>
            </w:pPr>
            <w:r/>
            <w:r>
              <w:rPr>
                <w:rFonts w:ascii="Times New Roman" w:hAnsi="Times New Roman"/>
                <w:b w:val="0"/>
                <w:sz w:val="20"/>
              </w:rPr>
              <w:t>23.57</w:t>
            </w:r>
          </w:p>
        </w:tc>
        <w:tc>
          <w:tcPr>
            <w:tcW w:type="dxa" w:w="3264"/>
            <w:vAlign w:val="center"/>
          </w:tcPr>
          <w:p>
            <w:pPr>
              <w:jc w:val="center"/>
            </w:pPr>
            <w:r/>
            <w:r>
              <w:rPr>
                <w:rFonts w:ascii="Times New Roman" w:hAnsi="Times New Roman"/>
                <w:b w:val="0"/>
                <w:sz w:val="20"/>
              </w:rPr>
              <w:t>18.43</w:t>
            </w:r>
          </w:p>
        </w:tc>
      </w:tr>
      <w:tr>
        <w:tc>
          <w:tcPr>
            <w:tcW w:type="dxa" w:w="3264"/>
            <w:vAlign w:val="center"/>
          </w:tcPr>
          <w:p>
            <w:pPr>
              <w:jc w:val="center"/>
            </w:pPr>
            <w:r/>
            <w:r>
              <w:rPr>
                <w:rFonts w:ascii="Times New Roman" w:hAnsi="Times New Roman"/>
                <w:b w:val="0"/>
                <w:sz w:val="20"/>
              </w:rPr>
              <w:t>Rating 4–5</w:t>
            </w:r>
          </w:p>
        </w:tc>
        <w:tc>
          <w:tcPr>
            <w:tcW w:type="dxa" w:w="3264"/>
            <w:vAlign w:val="center"/>
          </w:tcPr>
          <w:p>
            <w:pPr>
              <w:jc w:val="center"/>
            </w:pPr>
            <w:r/>
            <w:r>
              <w:rPr>
                <w:rFonts w:ascii="Times New Roman" w:hAnsi="Times New Roman"/>
                <w:b w:val="0"/>
                <w:sz w:val="20"/>
              </w:rPr>
              <w:t>31.43</w:t>
            </w:r>
          </w:p>
        </w:tc>
        <w:tc>
          <w:tcPr>
            <w:tcW w:type="dxa" w:w="3264"/>
            <w:vAlign w:val="center"/>
          </w:tcPr>
          <w:p>
            <w:pPr>
              <w:jc w:val="center"/>
            </w:pPr>
            <w:r/>
            <w:r>
              <w:rPr>
                <w:rFonts w:ascii="Times New Roman" w:hAnsi="Times New Roman"/>
                <w:b w:val="0"/>
                <w:sz w:val="20"/>
              </w:rPr>
              <w:t>24.57</w:t>
            </w:r>
          </w:p>
        </w:tc>
      </w:tr>
    </w:tbl>
    <w:p/>
    <w:p>
      <w:r>
        <w:t>The reported Chi-square statistic is χ² = 6.99 with 1 degree of freedom. Since 6.99 &gt; 3.84, the null hypothesis is rejected. Thus, subject understanding and academic performance are not statistically independent in the collected sample.</w:t>
      </w:r>
    </w:p>
    <w:p>
      <w:pPr>
        <w:pStyle w:val="Heading2"/>
      </w:pPr>
      <w:r>
        <w:t>4.4 Other Learning Factors</w:t>
      </w:r>
    </w:p>
    <w:p>
      <w:r>
        <w:t>The reported results for revision frequency (χ² = 1.90), difficulty in understanding topics (χ² = 0.52), and satisfaction with the learning process (χ² = 0.31) are below the critical value of 3.84. Therefore, the corresponding null hypotheses were not rejected at the 5% significance level.</w:t>
      </w:r>
    </w:p>
    <w:p>
      <w:pPr>
        <w:pStyle w:val="Heading1"/>
      </w:pPr>
      <w:r>
        <w:t>5. Discussion</w:t>
      </w:r>
    </w:p>
    <w:p>
      <w:r>
        <w:t>The analysis identified statistically significant associations between academic performance and three of the six learning-related factors examined. Assignment completion, use of online learning resources, and reported subject understanding showed Chi-square statistics greater than the stated critical value. These results suggest that the distribution of academic-performance categories differs across the response categories for these factors in the sample.</w:t>
      </w:r>
    </w:p>
    <w:p>
      <w:r>
        <w:t>In contrast, revision frequency, difficulty in understanding topics, and satisfaction with the learning process did not show statistically significant associations with academic performance in the collected sample. These non-significant findings should not be interpreted as proof that the factors have no influence on academic performance; they indicate that a statistically significant association was not detected in this dataset at the selected significance level.</w:t>
      </w:r>
    </w:p>
    <w:p>
      <w:pPr>
        <w:pStyle w:val="Heading1"/>
      </w:pPr>
      <w:r>
        <w:t>6. Conclusion</w:t>
      </w:r>
    </w:p>
    <w:p>
      <w:r>
        <w:t>This study examined associations between selected student learning habits and academic performance using the Chi-square test of independence. Primary data were collected through a structured Google Forms questionnaire and analyzed using contingency tables at a 5% significance level.</w:t>
      </w:r>
    </w:p>
    <w:p>
      <w:r>
        <w:t>The reported results indicate statistically significant associations between assignment completion, online learning resource use, subject understanding, and academic performance. The corresponding reported Chi-square statistics were 6.87, 6.63, and 6.99, respectively. The remaining factors—revision frequency, difficulty in understanding topics, and satisfaction with the learning process—did not show statistically significant associations in the collected sample.</w:t>
      </w:r>
    </w:p>
    <w:p>
      <w:r>
        <w:t>Overall, the study demonstrates a practical application of statistical hypothesis testing, contingency tables, expected frequencies, degrees of freedom, and the Chi-square test of independence to a student learning problem.</w:t>
      </w:r>
    </w:p>
    <w:p>
      <w:pPr>
        <w:pStyle w:val="Heading1"/>
      </w:pPr>
      <w:r>
        <w:t>7. Limitations</w:t>
      </w:r>
    </w:p>
    <w:p>
      <w:r>
        <w:t>The findings are based on the collected student survey sample and therefore should not automatically be generalized to all students or educational institutions. The study examines associations between categorical variables and does not establish causal relationships. In addition, the analysis depends on self-reported questionnaire responses and the classification scheme used for the survey variables.</w:t>
      </w:r>
    </w:p>
    <w:p>
      <w:pPr>
        <w:pStyle w:val="Heading1"/>
      </w:pPr>
      <w:r>
        <w:t>8. References</w:t>
      </w:r>
    </w:p>
    <w:p>
      <w:r>
        <w:t>1. Gupta, S. C., &amp; Kapoor, V. K. Fundamentals of Applied Statistics. Sultan Chand &amp; Sons.</w:t>
      </w:r>
    </w:p>
    <w:p>
      <w:r>
        <w:t>2. Montgomery, D. C., &amp; Runger, G. C. Applied Statistics and Probability for Engineers. Wiley.</w:t>
      </w:r>
    </w:p>
    <w:p>
      <w:r>
        <w:t>3. Agresti, A. An Introduction to Categorical Data Analysis. Wiley.</w:t>
      </w:r>
    </w:p>
    <w:p>
      <w:r>
        <w:t>4. Field, A. Discovering Statistics Using IBM SPSS Statistics. SAGE Publications.</w:t>
      </w:r>
    </w:p>
    <w:p>
      <w:r>
        <w:t>5. Google Forms. Google Forms – Online Form Builder. Google.</w:t>
      </w:r>
    </w:p>
    <w:p>
      <w:pPr>
        <w:pStyle w:val="Heading1"/>
      </w:pPr>
      <w:r>
        <w:t>Declaration</w:t>
      </w:r>
    </w:p>
    <w:p>
      <w:r>
        <w:t>This manuscript was prepared from the student survey analysis contained in the submitted assignment. Before journal submission, the authors should verify the underlying dataset, statistical calculations, author affiliation details, and journal-specific formatting requirements.</w:t>
      </w:r>
    </w:p>
    <w:sectPr w:rsidR="00FC693F" w:rsidRPr="0006063C" w:rsidSect="00034616">
      <w:headerReference w:type="default" r:id="rId9"/>
      <w:footerReference w:type="default" r:id="rId10"/>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6"/>
      </w:rPr>
      <w:t>Statistical Analysis of Student Learning Habits and Academic Performance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