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Times New Roman" w:cs="Times New Roman" w:eastAsia="Times New Roman" w:hAnsi="Times New Roman"/>
          <w:b w:val="1"/>
          <w:bCs w:val="1"/>
          <w:sz w:val="24"/>
          <w:szCs w:val="24"/>
        </w:rPr>
      </w:pPr>
      <w:bookmarkStart w:colFirst="0" w:colLast="0" w:name="_qqko2lh6pcw" w:id="0"/>
      <w:bookmarkEnd w:id="0"/>
      <w:r w:rsidDel="00000000" w:rsidR="00000000" w:rsidRPr="00000000">
        <w:rPr>
          <w:rFonts w:ascii="Times New Roman" w:cs="Times New Roman" w:eastAsia="Times New Roman" w:hAnsi="Times New Roman"/>
          <w:b w:val="1"/>
          <w:bCs w:val="1"/>
          <w:sz w:val="24"/>
          <w:szCs w:val="24"/>
          <w:rtl w:val="0"/>
        </w:rPr>
        <w:t xml:space="preserve">From Nucleotide Change to Neuronal Dysfunction: Computational Interpretation of Coding Variants in Neurogenetics</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Öykü Nefes Özinanç</w:t>
        <w:br w:type="textWrapping"/>
      </w:r>
      <w:r w:rsidDel="00000000" w:rsidR="00000000" w:rsidRPr="00000000">
        <w:rPr>
          <w:rFonts w:ascii="Times New Roman" w:cs="Times New Roman" w:eastAsia="Times New Roman" w:hAnsi="Times New Roman"/>
          <w:sz w:val="24"/>
          <w:szCs w:val="24"/>
          <w:rtl w:val="0"/>
        </w:rPr>
        <w:t xml:space="preserve"> High School Student Researcher, Independent Research in Molecular Biology, Genetics, Neuroscience and Computational Biology</w:t>
        <w:br w:type="textWrapping"/>
        <w:t xml:space="preserve"> Research Intern, Deductra</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coding variants; missense variants; synonymous variants;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neurogenetics</w:t>
      </w:r>
    </w:p>
    <w:p w:rsidR="00000000" w:rsidDel="00000000" w:rsidP="00000000" w:rsidRDefault="00000000" w:rsidRPr="00000000" w14:paraId="00000004">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3ofw46w6g81n" w:id="1"/>
      <w:bookmarkEnd w:id="1"/>
      <w:r w:rsidDel="00000000" w:rsidR="00000000" w:rsidRPr="00000000">
        <w:rPr>
          <w:rFonts w:ascii="Times New Roman" w:cs="Times New Roman" w:eastAsia="Times New Roman" w:hAnsi="Times New Roman"/>
          <w:b w:val="1"/>
          <w:bCs w:val="1"/>
          <w:sz w:val="24"/>
          <w:szCs w:val="24"/>
          <w:rtl w:val="0"/>
        </w:rPr>
        <w:t xml:space="preserve">OVERVIEW</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review examines how computational sequence analysis can be used to interpret coding variants and where sequence-level predictions stop being sufficient. The discussion focuses on synonymous, missense and nonsense variants, using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-associated epilepsy as a neurogenetic example and the GENELENS mutation-analysis module as the computational framework.</w:t>
      </w:r>
    </w:p>
    <w:p w:rsidR="00000000" w:rsidDel="00000000" w:rsidP="00000000" w:rsidRDefault="00000000" w:rsidRPr="00000000" w14:paraId="00000006">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5a1ey2ug0uj1" w:id="2"/>
      <w:bookmarkEnd w:id="2"/>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Variants can be assigned to classes of variants based on the molecular consequence of a nucleotide change, e.g. substitution in a protein-coding sequence (PCG). Substitutions in a PCG can result in several outcomes: the encoded amino acid can be preserved, it can be replaced by another amino acid, or a premature termination codon can be introduced. These variants are commonly classified as synonymous, missense, and nonsense variants, respectively. However, classifying a variant into one of these categories does not necessarily reveal whether the variant has an effect on the protein or even causes a disease.</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we review coding variation and discuss how analysis of DNA sequences can help to predict the molecular consequences of variants. Synonymous variation can affect RNA splicing, mRNA stability, translation and protein folding (Sauna and Kimchi-Sarfaty 2011; Hunt et al. 2014). Such variation can have a significant impact on protein function despite the coding DNA sequence encoding the same amino acid(s) as in wild-type sequence. A large number of missense variants have been studied to predict their potential impact on protein function and these variants can affect protein function in a number of ways including protein stability, channel function (e.g. in ion channel proteins), protein–protein interactions and protein function within the cell (Ng and Henikoff 2001; Adzhubei et al. 2010). The impact of any given missense variant will depend on a number of factors including the biochemical and structural properties of the affected amino acid. Nonsense variants result in the translation of a truncated protein and can result in the degradation of the nonsense-containing mRNA by nonsense-mediated mRNA decay (Lindeboom, Supek, and Lehner 2016). Here, we review the evidence for the functional consequences of variants in SCN1A, a gene whose products are responsible for neuronal sodium channel function. While variants in coding regions can affect protein function in a number of ways, they can be broadly classified into three types: synonymous variation; missense variants; and nonsense variants. Such variants have been found to affect protein function in a number of ways and their functional consequences can be highly variable. Functional studies of variants in SCN1A have found that variants that have the same broad classification can have very different consequences for channel function (Brunklaus et al. 2020; Knox et al. 2025). More recently, four variants that affect the same codon in SCN1A have been found to have very different functional consequences for sodium channel function (Liebovitz et al. 2026). The functional studies were carried out using cDNA that encoded the variants of interest and the variants were expressed in a cell line that endogenously expressed sodium channels. In each case, the variants resulted in a change in the protein sequence that was determined by the cDNA sequence. The four variants resulted in different changes to channel function, each of which highlighted an important feature of sodium channel function. In each case, a change to sodium channel function could have a profound impact on neuronal function, particularly in neurons that required high frequency firing. As functional studies of all coding variants of interest would not be practical, it would be highly desirable to identify variants of interest that had a high likelihood of having a functional consequence. Here, we review how analysis of cDNA and coding DNA sequence can help to predict the consequences of any coding variant of interest. In the case of the four variants of interest that affected the same codon in SCN1A, prediction would have indicated that each of the variants was of interest. However, no variant would have predicted the extent of the change to sodium channel function that was found in functional studies. Thus, while prediction of coding variants of interest is highly desirable, such studies would need to be underpinned by functional studies to establish the full extent of the consequences of any coding variant of interest.</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These findings indicate that computational sequence classification is most useful as an initial annotation step. More complete interpretation requires population data, evolutionary conservation, structural information, functional experiments and clinical evidence.</w:t>
      </w:r>
    </w:p>
    <w:p w:rsidR="00000000" w:rsidDel="00000000" w:rsidP="00000000" w:rsidRDefault="00000000" w:rsidRPr="00000000" w14:paraId="0000000A">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h57wnvkfbtav" w:id="3"/>
      <w:bookmarkEnd w:id="3"/>
      <w:r w:rsidDel="00000000" w:rsidR="00000000" w:rsidRPr="00000000">
        <w:rPr>
          <w:rFonts w:ascii="Times New Roman" w:cs="Times New Roman" w:eastAsia="Times New Roman" w:hAnsi="Times New Roman"/>
          <w:b w:val="1"/>
          <w:bCs w:val="1"/>
          <w:sz w:val="24"/>
          <w:szCs w:val="24"/>
          <w:rtl w:val="0"/>
        </w:rPr>
        <w:t xml:space="preserve">INTRODUCTION</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DNA sequencing has changed the scale at which genetic variation can be studied. Whole-exome and whole-genome sequencing can identify thousands of variants in a single individual, including variants that have never previously been associated with a disease phenotype. The resulting problem is no longer simply identifying genetic differences. Researchers must determine which differences are likely to have functional consequences and which are unrelated to the phenotype under investigation (Cooper and Shendure 2011; Richards et al. 2015).</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Coding variants provide a relatively direct way to study this problem because changes in DNA can sometimes be followed into changes in the amino-acid sequence of a protein. Protein-coding sequences are interpreted in three-nucleotide codons. Because the genetic code is degenerate, different codons can encode the same amino acid. A nucleotide substitution can consequently leave the protein sequence unchanged, replace one amino acid with another or introduce a termination codon.</w:t>
      </w:r>
    </w:p>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outcomes are referred to as synonymous, missense and nonsense variants. The terminology describes what happens to the coding sequence, rather than whether the variant is clinically harmful. The distinction is important in medical genetics because pathogenicity is determined from multiple categories of evidence rather than from variant type alone (Richards et al. 2015).</w:t>
      </w:r>
    </w:p>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difference is especially clear for synonymous variants. A synonymous substitution does not change the amino-acid sequence, yet studies have shown that synonymous changes can affect splicing, messenger RNA stability, translation and protein folding (Sauna and Kimchi-Sarfaty 2011; Hunt et al. 2014). Conversely, a missense substitution may alter an amino acid without causing a measurable functional defect. The outcome depends on the position of the residue, its chemical properties, evolutionary conservation and the role of the surrounding protein domain (Ng and Henikoff 2001; Adzhubei et al. 2010).</w:t>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Computational biology has developed methods for dealing with this uncertainty. SIFT uses sequence conservation to predict whether amino-acid substitutions are likely to be tolerated, while PolyPhen-2 combines sequence and structural information when estimating the potential effect of missense variants (Ng and Henikoff 2001; Adzhubei et al. 2010). CADD takes a broader approach by integrating numerous genomic annotations into a single score that can be used to prioritise variants for further investigation (Kircher et al. 2014).</w:t>
      </w:r>
    </w:p>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GENELENS provides a smaller and more transparent implementation of the first stage of this process. The project contains functions for DNA sequence analysis, GC-content analysis, motif detection, reverse complements, reading frames, DNA-to-protein translation, open reading frame detection, k-mer analysis, FASTA datasets, neuroscience gene profiles, expression comparison and Bayesian neural decoding. The mutation-analysis function compares reference and altered sequences, checks the mutation position and determines the resulting amino-acid consequence.</w:t>
      </w:r>
    </w:p>
    <w:p w:rsidR="00000000" w:rsidDel="00000000" w:rsidP="00000000" w:rsidRDefault="00000000" w:rsidRPr="00000000" w14:paraId="0000001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biological question raised by this computational approach is broader than the classification itself. A sequence program can identify the immediate coding consequence of a variant, but protein function depends on processes that occur after translation as well as on the cellular and physiological environment in which the protein operates.</w:t>
      </w:r>
    </w:p>
    <w:p w:rsidR="00000000" w:rsidDel="00000000" w:rsidP="00000000" w:rsidRDefault="00000000" w:rsidRPr="00000000" w14:paraId="0000001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Neurogenetics provides a useful setting in which to examine this relationship. Neuronal signalling depends on proteins that regulate membrane excitability, synaptic transmission and intracellular communication. Changes in these proteins can alter neuronal activity and, in some cases, contribute to neurological disease.</w:t>
      </w:r>
    </w:p>
    <w:p w:rsidR="00000000" w:rsidDel="00000000" w:rsidP="00000000" w:rsidRDefault="00000000" w:rsidRPr="00000000" w14:paraId="0000001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gene illustrates the problem particularly well. It encodes NaV1.1, a voltage-gated sodium channel expressed in neurons. Pathogenic variants in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are associated with a range of epilepsy phenotypes, including genetic epilepsy with febrile seizures plus and Dravet syndrome (Escayg and Goldin 2010). De novo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mutations were first reported as a cause of severe myoclonic epilepsy of infancy in 2001, with the reported variants including frameshift, nonsense, splice-site and missense changes (Claes et al. 2001).</w:t>
      </w:r>
    </w:p>
    <w:p w:rsidR="00000000" w:rsidDel="00000000" w:rsidP="00000000" w:rsidRDefault="00000000" w:rsidRPr="00000000" w14:paraId="0000001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this review was to examine how coding variants can be interpreted computationally, what biological mechanisms lie behind the major coding-variant categories, and why sequence-level classification alone cannot establish functional or clinical significance.</w:t>
      </w:r>
    </w:p>
    <w:p w:rsidR="00000000" w:rsidDel="00000000" w:rsidP="00000000" w:rsidRDefault="00000000" w:rsidRPr="00000000" w14:paraId="00000015">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cu3m2ceeuase" w:id="4"/>
      <w:bookmarkEnd w:id="4"/>
      <w:r w:rsidDel="00000000" w:rsidR="00000000" w:rsidRPr="00000000">
        <w:rPr>
          <w:rFonts w:ascii="Times New Roman" w:cs="Times New Roman" w:eastAsia="Times New Roman" w:hAnsi="Times New Roman"/>
          <w:b w:val="1"/>
          <w:bCs w:val="1"/>
          <w:sz w:val="24"/>
          <w:szCs w:val="24"/>
          <w:rtl w:val="0"/>
        </w:rPr>
        <w:t xml:space="preserve">RESULTS</w:t>
      </w:r>
    </w:p>
    <w:p w:rsidR="00000000" w:rsidDel="00000000" w:rsidP="00000000" w:rsidRDefault="00000000" w:rsidRPr="00000000" w14:paraId="00000016">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3gqswsckzeft" w:id="5"/>
      <w:bookmarkEnd w:id="5"/>
      <w:r w:rsidDel="00000000" w:rsidR="00000000" w:rsidRPr="00000000">
        <w:rPr>
          <w:rFonts w:ascii="Times New Roman" w:cs="Times New Roman" w:eastAsia="Times New Roman" w:hAnsi="Times New Roman"/>
          <w:b w:val="1"/>
          <w:bCs w:val="1"/>
          <w:color w:val="000000"/>
          <w:sz w:val="24"/>
          <w:szCs w:val="24"/>
          <w:rtl w:val="0"/>
        </w:rPr>
        <w:t xml:space="preserve">Coding-sequence classification and its biological limits</w:t>
      </w:r>
    </w:p>
    <w:p w:rsidR="00000000" w:rsidDel="00000000" w:rsidP="00000000" w:rsidRDefault="00000000" w:rsidRPr="00000000" w14:paraId="0000001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GENELENS mutation-analysis function establishes the coding consequence of a substitution by comparing reference and altered sequences. The function verifies the sequence lengths, checks the mutation position and translates the sequences before comparing the affected amino acids.</w:t>
      </w:r>
    </w:p>
    <w:p w:rsidR="00000000" w:rsidDel="00000000" w:rsidP="00000000" w:rsidRDefault="00000000" w:rsidRPr="00000000" w14:paraId="0000001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underlying classification is straightforward. When the translated amino acid remains unchanged, the substitution is synonymous. When the amino acid changes, it is missense. When translation produces a termination signal at the altered position, the variant is classified as nonsense.</w:t>
      </w:r>
    </w:p>
    <w:p w:rsidR="00000000" w:rsidDel="00000000" w:rsidP="00000000" w:rsidRDefault="00000000" w:rsidRPr="00000000" w14:paraId="0000001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approach captures an important molecular consequence, but it does not represent the entire biological effect of a variant. A synonymous substitution may influence RNA processing without changing the translated protein. A missense substitution may change an amino acid without substantially altering protein activity. A nonsense variant may trigger degradation of its transcript rather than simply producing a truncated protein.</w:t>
      </w:r>
    </w:p>
    <w:p w:rsidR="00000000" w:rsidDel="00000000" w:rsidP="00000000" w:rsidRDefault="00000000" w:rsidRPr="00000000" w14:paraId="0000001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distinction between coding consequence and clinical interpretation is reflected in the ACMG/AMP framework. The framework separates the classification of variants as pathogenic, likely pathogenic, uncertain significance, likely benign or benign from individual pieces of evidence, including population frequency, computational predictions, functional studies and segregation data (Richards et al. 2015).</w:t>
      </w:r>
    </w:p>
    <w:p w:rsidR="00000000" w:rsidDel="00000000" w:rsidP="00000000" w:rsidRDefault="00000000" w:rsidRPr="00000000" w14:paraId="0000001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sequence classifier can therefore provide useful annotation without providing a clinical diagnosis.</w:t>
      </w:r>
    </w:p>
    <w:p w:rsidR="00000000" w:rsidDel="00000000" w:rsidP="00000000" w:rsidRDefault="00000000" w:rsidRPr="00000000" w14:paraId="0000001C">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pji1ohiyugcj" w:id="6"/>
      <w:bookmarkEnd w:id="6"/>
      <w:r w:rsidDel="00000000" w:rsidR="00000000" w:rsidRPr="00000000">
        <w:rPr>
          <w:rFonts w:ascii="Times New Roman" w:cs="Times New Roman" w:eastAsia="Times New Roman" w:hAnsi="Times New Roman"/>
          <w:b w:val="1"/>
          <w:bCs w:val="1"/>
          <w:color w:val="000000"/>
          <w:sz w:val="24"/>
          <w:szCs w:val="24"/>
          <w:rtl w:val="0"/>
        </w:rPr>
        <w:t xml:space="preserve">Synonymous variants and regulation beyond the protein sequence</w:t>
      </w:r>
    </w:p>
    <w:p w:rsidR="00000000" w:rsidDel="00000000" w:rsidP="00000000" w:rsidRDefault="00000000" w:rsidRPr="00000000" w14:paraId="0000001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term “silent mutation” is increasingly inadequate for describing synonymous variation. A synonymous substitution preserves the amino acid encoded by a codon, but the nucleotide itself can participate in regulatory processes.</w:t>
      </w:r>
    </w:p>
    <w:p w:rsidR="00000000" w:rsidDel="00000000" w:rsidP="00000000" w:rsidRDefault="00000000" w:rsidRPr="00000000" w14:paraId="0000001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Pre-mRNA splicing is one mechanism. Exonic sequences contain elements that influence the recruitment of splicing factors. A nucleotide substitution that leaves the amino acid unchanged can alter these elements and affect how an exon is incorporated into the mature transcript (Sauna and Kimchi-Sarfaty 2011; Hunt et al. 2014). Sauna and Kimchi-Sarfaty reviewed evidence that synonymous substitutions can influence protein expression, conformation and function through several mechanisms.</w:t>
      </w:r>
    </w:p>
    <w:p w:rsidR="00000000" w:rsidDel="00000000" w:rsidP="00000000" w:rsidRDefault="00000000" w:rsidRPr="00000000" w14:paraId="0000001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Codon usage provides another source of variation. Synonymous codons are not necessarily used at equal frequencies, and differences in codon availability can influence translational dynamics. Changes in translation speed can affect co-translational folding, so the same amino-acid sequence does not necessarily guarantee identical protein production conditions (Hunt et al. 2014).</w:t>
      </w:r>
    </w:p>
    <w:p w:rsidR="00000000" w:rsidDel="00000000" w:rsidP="00000000" w:rsidRDefault="00000000" w:rsidRPr="00000000" w14:paraId="0000002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RNA structure can also change following a synonymous substitution. A single nucleotide can affect local secondary structure or alter interactions with RNA-binding molecules. These effects can influence messenger RNA stability or translation (Hunt et al. 2014).</w:t>
      </w:r>
    </w:p>
    <w:p w:rsidR="00000000" w:rsidDel="00000000" w:rsidP="00000000" w:rsidRDefault="00000000" w:rsidRPr="00000000" w14:paraId="0000002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time, evidence does not support treating synonymous variation as broadly pathogenic. A large-scale assessment by Sander et al. concluded that most synonymous variants in humans are neutral or only weakly deleterious, while acknowledging important exceptions involving splicing, translation and RNA stability (Sander et al. 2022).</w:t>
      </w:r>
    </w:p>
    <w:p w:rsidR="00000000" w:rsidDel="00000000" w:rsidP="00000000" w:rsidRDefault="00000000" w:rsidRPr="00000000" w14:paraId="0000002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GENELENS, this distinction defines a clear boundary. If the translated reference and altered sequences contain the same amino acid, the program can correctly identify a synonymous coding consequence. It cannot infer altered splicing or messenger RNA behaviour from the translated sequence alone. A more advanced system would need transcript-level annotations and experimental evidence.</w:t>
      </w:r>
    </w:p>
    <w:p w:rsidR="00000000" w:rsidDel="00000000" w:rsidP="00000000" w:rsidRDefault="00000000" w:rsidRPr="00000000" w14:paraId="00000023">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6g274h7mgcs7" w:id="7"/>
      <w:bookmarkEnd w:id="7"/>
      <w:r w:rsidDel="00000000" w:rsidR="00000000" w:rsidRPr="00000000">
        <w:rPr>
          <w:rFonts w:ascii="Times New Roman" w:cs="Times New Roman" w:eastAsia="Times New Roman" w:hAnsi="Times New Roman"/>
          <w:b w:val="1"/>
          <w:bCs w:val="1"/>
          <w:color w:val="000000"/>
          <w:sz w:val="24"/>
          <w:szCs w:val="24"/>
          <w:rtl w:val="0"/>
        </w:rPr>
        <w:t xml:space="preserve">Missense variation and protein function</w:t>
      </w:r>
    </w:p>
    <w:p w:rsidR="00000000" w:rsidDel="00000000" w:rsidP="00000000" w:rsidRDefault="00000000" w:rsidRPr="00000000" w14:paraId="0000002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Missense variants change the amino-acid sequence of a protein. Their consequences vary considerably because amino acids differ in physical and chemical properties and because individual residues occupy different structural and functional environments.</w:t>
      </w:r>
    </w:p>
    <w:p w:rsidR="00000000" w:rsidDel="00000000" w:rsidP="00000000" w:rsidRDefault="00000000" w:rsidRPr="00000000" w14:paraId="0000002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substitution between chemically similar amino acids may have a smaller effect than a substitution that introduces a residue with very different charge, size or hydrophobicity. Location also matters. A residue positioned within an active site, binding interface, transmembrane region or ion-conducting pore can have a different significance from a residue in a less constrained part of the protein.</w:t>
      </w:r>
    </w:p>
    <w:p w:rsidR="00000000" w:rsidDel="00000000" w:rsidP="00000000" w:rsidRDefault="00000000" w:rsidRPr="00000000" w14:paraId="0000002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Evolutionary conservation is one way to estimate this constraint. SIFT uses sequence homology to distinguish substitutions predicted to be tolerated from those predicted to interfere with protein function (Ng and Henikoff 2001).</w:t>
      </w:r>
    </w:p>
    <w:p w:rsidR="00000000" w:rsidDel="00000000" w:rsidP="00000000" w:rsidRDefault="00000000" w:rsidRPr="00000000" w14:paraId="0000002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PolyPhen-2 incorporates structural and sequence-based information when predicting the possible effects of amino-acid substitutions (Adzhubei et al. 2010).</w:t>
      </w:r>
    </w:p>
    <w:p w:rsidR="00000000" w:rsidDel="00000000" w:rsidP="00000000" w:rsidRDefault="00000000" w:rsidRPr="00000000" w14:paraId="0000002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CADD approaches the problem at a larger scale. Its original framework combined diverse genomic annotations and used a support-vector-machine model to distinguish observed human variants from simulated variants. CADD scores were associated with several measures of functionality and pathogenicity and could be used to rank candidate variants for investigation (Kircher et al. 2014).</w:t>
      </w:r>
    </w:p>
    <w:p w:rsidR="00000000" w:rsidDel="00000000" w:rsidP="00000000" w:rsidRDefault="00000000" w:rsidRPr="00000000" w14:paraId="0000002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tools are useful for prioritisation, but their predictions remain indirect. They do not directly measure protein activity. A high prediction score can support an interpretation when combined with other evidence, but it does not replace an experiment designed to measure the relevant molecular function.</w:t>
      </w:r>
    </w:p>
    <w:p w:rsidR="00000000" w:rsidDel="00000000" w:rsidP="00000000" w:rsidRDefault="00000000" w:rsidRPr="00000000" w14:paraId="0000002A">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q8d9ru5ni34g" w:id="8"/>
      <w:bookmarkEnd w:id="8"/>
      <w:r w:rsidDel="00000000" w:rsidR="00000000" w:rsidRPr="00000000">
        <w:rPr>
          <w:rFonts w:ascii="Times New Roman" w:cs="Times New Roman" w:eastAsia="Times New Roman" w:hAnsi="Times New Roman"/>
          <w:b w:val="1"/>
          <w:bCs w:val="1"/>
          <w:color w:val="000000"/>
          <w:sz w:val="24"/>
          <w:szCs w:val="24"/>
          <w:rtl w:val="0"/>
        </w:rPr>
        <w:t xml:space="preserve">Nonsense variants and transcript degradation</w:t>
      </w:r>
    </w:p>
    <w:p w:rsidR="00000000" w:rsidDel="00000000" w:rsidP="00000000" w:rsidRDefault="00000000" w:rsidRPr="00000000" w14:paraId="0000002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nonsense variant converts a codon that normally specifies an amino acid into a termination codon. Translation can therefore stop before the complete protein has been produced.</w:t>
      </w:r>
    </w:p>
    <w:p w:rsidR="00000000" w:rsidDel="00000000" w:rsidP="00000000" w:rsidRDefault="00000000" w:rsidRPr="00000000" w14:paraId="0000002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resulting molecular phenotype depends partly on nonsense-mediated mRNA decay (NMD), a conserved RNA-surveillance pathway that recognises many transcripts containing premature termination codons and promotes their degradation (Lindeboom, Supek, and Lehner 2016; He and Jacobson 2015).</w:t>
      </w:r>
    </w:p>
    <w:p w:rsidR="00000000" w:rsidDel="00000000" w:rsidP="00000000" w:rsidRDefault="00000000" w:rsidRPr="00000000" w14:paraId="0000002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NMD changes the interpretation of a nonsense variant because the amount of truncated protein may be much lower than a sequence-only model would suggest. The affected transcript can be removed before substantial translation occurs. The probability of NMD depends on features of the transcript and the position of the premature termination codon (Supek, Lehner, and Lindeboom 2021).</w:t>
      </w:r>
    </w:p>
    <w:p w:rsidR="00000000" w:rsidDel="00000000" w:rsidP="00000000" w:rsidRDefault="00000000" w:rsidRPr="00000000" w14:paraId="0000002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GENELENS classifier identifies the immediate consequence at the protein-coding level by detecting the termination symbol generated during translation. It does not currently model transcript surveillance. That distinction matters when a researcher moves from sequence annotation toward a prediction about protein abundance or disease mechanism.</w:t>
      </w:r>
    </w:p>
    <w:p w:rsidR="00000000" w:rsidDel="00000000" w:rsidP="00000000" w:rsidRDefault="00000000" w:rsidRPr="00000000" w14:paraId="0000002F">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b65sh7a58jid" w:id="9"/>
      <w:bookmarkEnd w:id="9"/>
      <w:r w:rsidDel="00000000" w:rsidR="00000000" w:rsidRPr="00000000">
        <w:rPr>
          <w:rFonts w:ascii="Times New Roman" w:cs="Times New Roman" w:eastAsia="Times New Roman" w:hAnsi="Times New Roman"/>
          <w:b w:val="1"/>
          <w:bCs w:val="1"/>
          <w:i w:val="1"/>
          <w:iCs w:val="1"/>
          <w:color w:val="000000"/>
          <w:sz w:val="24"/>
          <w:szCs w:val="24"/>
          <w:rtl w:val="0"/>
        </w:rPr>
        <w:t xml:space="preserve">SCN1A</w:t>
      </w:r>
      <w:r w:rsidDel="00000000" w:rsidR="00000000" w:rsidRPr="00000000">
        <w:rPr>
          <w:rFonts w:ascii="Times New Roman" w:cs="Times New Roman" w:eastAsia="Times New Roman" w:hAnsi="Times New Roman"/>
          <w:b w:val="1"/>
          <w:bCs w:val="1"/>
          <w:color w:val="000000"/>
          <w:sz w:val="24"/>
          <w:szCs w:val="24"/>
          <w:rtl w:val="0"/>
        </w:rPr>
        <w:t xml:space="preserve"> and the relationship between genotype and neuronal function</w:t>
      </w:r>
    </w:p>
    <w:p w:rsidR="00000000" w:rsidDel="00000000" w:rsidP="00000000" w:rsidRDefault="00000000" w:rsidRPr="00000000" w14:paraId="0000003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encodes the alpha subunit of the NaV1.1 voltage-gated sodium channel. The channel contributes to the generation and propagation of electrical signals in neurons, making changes in its function particularly relevant to epilepsy.</w:t>
      </w:r>
    </w:p>
    <w:p w:rsidR="00000000" w:rsidDel="00000000" w:rsidP="00000000" w:rsidRDefault="00000000" w:rsidRPr="00000000" w14:paraId="0000003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connection between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and epilepsy was established through studies of patients with severe myoclonic epilepsy of infancy and related epileptic disorders. Claes et al. identified de novo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mutations in seven unrelated patients with severe myoclonic epilepsy of infancy, including frameshift, nonsense, splice-site and missense variants. Subsequent studies expanded the spectrum of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-associated phenotypes and demonstrated that the gene is associated with both relatively mild and severe epileptic syndromes (Escayg and Goldin 2010).</w:t>
      </w:r>
    </w:p>
    <w:p w:rsidR="00000000" w:rsidDel="00000000" w:rsidP="00000000" w:rsidRDefault="00000000" w:rsidRPr="00000000" w14:paraId="0000003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position and type of a variant can provide useful information. Earlier genotype–phenotype analyses found that truncating variants and missense variants in particular functional regions were associated with different clinical patterns (Ceulemans et al. 2004). Larger datasets have since reinforced the association between variant location, predicted functional effect and phenotype, while also demonstrating that these relationships are not absolute (Sadleir et al. 2024).</w:t>
      </w:r>
    </w:p>
    <w:p w:rsidR="00000000" w:rsidDel="00000000" w:rsidP="00000000" w:rsidRDefault="00000000" w:rsidRPr="00000000" w14:paraId="0000003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Functional experiments provide another layer of information. Yu et al. reported reduced sodium-channel function associated with severe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-related epilepsy, supporting a loss-of-function mechanism for many disease-associated variants. Later studies showed that the functional effects of individual variants can include changes in current density, activation, inactivation and recovery from inactivation (Yu et al. 2006; Zhang et al. 2020).</w:t>
      </w:r>
    </w:p>
    <w:p w:rsidR="00000000" w:rsidDel="00000000" w:rsidP="00000000" w:rsidRDefault="00000000" w:rsidRPr="00000000" w14:paraId="0000003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Brunklaus et al. compared computational predictions with electrophysiological data from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variants and found that conventional in-silico predictions could distinguish many benign from pathogenic variants but had more difficulty distinguishing phenotypes within the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disease spectrum. Patch-clamp measurements provided additional information about residual channel function and disease severity (Brunklaus et al. 2020).</w:t>
      </w:r>
    </w:p>
    <w:p w:rsidR="00000000" w:rsidDel="00000000" w:rsidP="00000000" w:rsidRDefault="00000000" w:rsidRPr="00000000" w14:paraId="0000003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more recent study by Knox et al. combined automated patch-clamp measurements with neuronal modelling and clinical data from children with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-associated epilepsy. Several non-truncating variants showed complete loss of function, while others showed partial loss of function, mixed gain- and loss-of-function behaviour or apparently normal channel activity. Functional evidence changed the pathogenicity classification of six variants in the study (Knox et al. 2025).</w:t>
      </w:r>
    </w:p>
    <w:p w:rsidR="00000000" w:rsidDel="00000000" w:rsidP="00000000" w:rsidRDefault="00000000" w:rsidRPr="00000000" w14:paraId="0000003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results provide a useful example of the difference between computational prediction and functional measurement. The sequence identifies the variant. Electrophysiology measures the channel.</w:t>
      </w:r>
    </w:p>
    <w:p w:rsidR="00000000" w:rsidDel="00000000" w:rsidP="00000000" w:rsidRDefault="00000000" w:rsidRPr="00000000" w14:paraId="00000037">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4kgisu1hqmvg" w:id="10"/>
      <w:bookmarkEnd w:id="10"/>
      <w:r w:rsidDel="00000000" w:rsidR="00000000" w:rsidRPr="00000000">
        <w:rPr>
          <w:rFonts w:ascii="Times New Roman" w:cs="Times New Roman" w:eastAsia="Times New Roman" w:hAnsi="Times New Roman"/>
          <w:b w:val="1"/>
          <w:bCs w:val="1"/>
          <w:color w:val="000000"/>
          <w:sz w:val="24"/>
          <w:szCs w:val="24"/>
          <w:rtl w:val="0"/>
        </w:rPr>
        <w:t xml:space="preserve">Variants affecting the same codon</w:t>
      </w:r>
    </w:p>
    <w:p w:rsidR="00000000" w:rsidDel="00000000" w:rsidP="00000000" w:rsidRDefault="00000000" w:rsidRPr="00000000" w14:paraId="0000003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distinction becomes even sharper when variants at the same amino-acid position are compared.</w:t>
      </w:r>
    </w:p>
    <w:p w:rsidR="00000000" w:rsidDel="00000000" w:rsidP="00000000" w:rsidRDefault="00000000" w:rsidRPr="00000000" w14:paraId="0000003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Liebovitz et al. (2026) examined four epilepsy-associated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substitutions affecting codon 1347: I1347T, I1347N, I1347V and I1347F. The researchers used whole-cell patch-clamp recordings and structural modelling to compare their effects. The study found divergent functional properties among the substitutions despite their shared position within the protein.</w:t>
      </w:r>
    </w:p>
    <w:p w:rsidR="00000000" w:rsidDel="00000000" w:rsidP="00000000" w:rsidRDefault="00000000" w:rsidRPr="00000000" w14:paraId="0000003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finding places a limit on what can reasonably be inferred from variant position alone. A residue can be functionally important without every possible substitution at that residue producing the same molecular phenotype.</w:t>
      </w:r>
    </w:p>
    <w:p w:rsidR="00000000" w:rsidDel="00000000" w:rsidP="00000000" w:rsidRDefault="00000000" w:rsidRPr="00000000" w14:paraId="0000003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issue appears in broader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datasets. A database-based analysis of more than 1,200 mutations found relationships between variant location, functional alteration and phenotype, including differences between missense variants in different regions of the channel (Meng et al. 2015).</w:t>
      </w:r>
    </w:p>
    <w:p w:rsidR="00000000" w:rsidDel="00000000" w:rsidP="00000000" w:rsidRDefault="00000000" w:rsidRPr="00000000" w14:paraId="0000003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computational variant analysis, this means that the amino-acid substitution itself is only part of the relevant information. The specific replacement, structural environment and experimentally measured channel behaviour may all contribute to the final interpretation.</w:t>
      </w:r>
    </w:p>
    <w:p w:rsidR="00000000" w:rsidDel="00000000" w:rsidP="00000000" w:rsidRDefault="00000000" w:rsidRPr="00000000" w14:paraId="0000003D">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7pw9zfr9o3bv" w:id="11"/>
      <w:bookmarkEnd w:id="11"/>
      <w:r w:rsidDel="00000000" w:rsidR="00000000" w:rsidRPr="00000000">
        <w:rPr>
          <w:rFonts w:ascii="Times New Roman" w:cs="Times New Roman" w:eastAsia="Times New Roman" w:hAnsi="Times New Roman"/>
          <w:b w:val="1"/>
          <w:bCs w:val="1"/>
          <w:color w:val="000000"/>
          <w:sz w:val="24"/>
          <w:szCs w:val="24"/>
          <w:rtl w:val="0"/>
        </w:rPr>
        <w:t xml:space="preserve">Variants of uncertain significance</w:t>
      </w:r>
    </w:p>
    <w:p w:rsidR="00000000" w:rsidDel="00000000" w:rsidP="00000000" w:rsidRDefault="00000000" w:rsidRPr="00000000" w14:paraId="0000003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expansion of sequencing has created a large population of variants for which the available evidence is insufficient for a confident clinical classification. These variants are often reported as variants of uncertain significance.</w:t>
      </w:r>
    </w:p>
    <w:p w:rsidR="00000000" w:rsidDel="00000000" w:rsidP="00000000" w:rsidRDefault="00000000" w:rsidRPr="00000000" w14:paraId="0000003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VUS is not synonymous with “probably harmful”. It indicates that the evidence available at the time of interpretation does not support classification as benign or pathogenic with sufficient confidence. The ACMG/AMP framework therefore recommends combining different forms of evidence, including population data, computational predictions, functional data, segregation and phenotype (Richards et al. 2015).</w:t>
      </w:r>
    </w:p>
    <w:p w:rsidR="00000000" w:rsidDel="00000000" w:rsidP="00000000" w:rsidRDefault="00000000" w:rsidRPr="00000000" w14:paraId="0000004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distinction is particularly relevant to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Functional testing has been shown to resolve some uncertain variants that cannot be confidently interpreted from sequence information alone (Brunklaus et al. 2020; Knox et al. 2025).</w:t>
      </w:r>
    </w:p>
    <w:p w:rsidR="00000000" w:rsidDel="00000000" w:rsidP="00000000" w:rsidRDefault="00000000" w:rsidRPr="00000000" w14:paraId="0000004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computational classification such as “missense” therefore describes the molecular consequence of the substitution. A clinical classification such as “pathogenic” requires a much broader body of evidence.</w:t>
      </w:r>
    </w:p>
    <w:p w:rsidR="00000000" w:rsidDel="00000000" w:rsidP="00000000" w:rsidRDefault="00000000" w:rsidRPr="00000000" w14:paraId="00000042">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zh5fttod0o3v" w:id="12"/>
      <w:bookmarkEnd w:id="12"/>
      <w:r w:rsidDel="00000000" w:rsidR="00000000" w:rsidRPr="00000000">
        <w:rPr>
          <w:rFonts w:ascii="Times New Roman" w:cs="Times New Roman" w:eastAsia="Times New Roman" w:hAnsi="Times New Roman"/>
          <w:b w:val="1"/>
          <w:bCs w:val="1"/>
          <w:sz w:val="24"/>
          <w:szCs w:val="24"/>
          <w:rtl w:val="0"/>
        </w:rPr>
        <w:t xml:space="preserve">DISCUSSION</w:t>
      </w:r>
    </w:p>
    <w:p w:rsidR="00000000" w:rsidDel="00000000" w:rsidP="00000000" w:rsidRDefault="00000000" w:rsidRPr="00000000" w14:paraId="0000004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evidence reviewed here supports a relatively simple conclusion about the role of sequence-based mutation analysis: it is useful because it provides a reproducible description of what happened to the coding sequence, but the description is not equivalent to a functional explanation.</w:t>
      </w:r>
    </w:p>
    <w:p w:rsidR="00000000" w:rsidDel="00000000" w:rsidP="00000000" w:rsidRDefault="00000000" w:rsidRPr="00000000" w14:paraId="0000004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GENELENS makes the first part of this process explicit. The mutation function compares reference and altered sequences, identifies the affected nucleotide and codon and determines whether the encoded amino acid has changed. The project's unit tests also include a defined missense case, in which </w:t>
      </w:r>
      <w:r w:rsidDel="00000000" w:rsidR="00000000" w:rsidRPr="00000000">
        <w:rPr>
          <w:rFonts w:ascii="Roboto Mono" w:cs="Roboto Mono" w:eastAsia="Roboto Mono" w:hAnsi="Roboto Mono"/>
          <w:color w:val="188038"/>
          <w:sz w:val="24"/>
          <w:szCs w:val="24"/>
          <w:rtl w:val="0"/>
        </w:rPr>
        <w:t xml:space="preserve">ATGGCTTAA</w:t>
      </w:r>
      <w:r w:rsidDel="00000000" w:rsidR="00000000" w:rsidRPr="00000000">
        <w:rPr>
          <w:rFonts w:ascii="Times New Roman" w:cs="Times New Roman" w:eastAsia="Times New Roman" w:hAnsi="Times New Roman"/>
          <w:sz w:val="24"/>
          <w:szCs w:val="24"/>
          <w:rtl w:val="0"/>
        </w:rPr>
        <w:t xml:space="preserve"> is changed to </w:t>
      </w:r>
      <w:r w:rsidDel="00000000" w:rsidR="00000000" w:rsidRPr="00000000">
        <w:rPr>
          <w:rFonts w:ascii="Roboto Mono" w:cs="Roboto Mono" w:eastAsia="Roboto Mono" w:hAnsi="Roboto Mono"/>
          <w:color w:val="188038"/>
          <w:sz w:val="24"/>
          <w:szCs w:val="24"/>
          <w:rtl w:val="0"/>
        </w:rPr>
        <w:t xml:space="preserve">ATGACTTAA</w:t>
      </w:r>
      <w:r w:rsidDel="00000000" w:rsidR="00000000" w:rsidRPr="00000000">
        <w:rPr>
          <w:rFonts w:ascii="Times New Roman" w:cs="Times New Roman" w:eastAsia="Times New Roman" w:hAnsi="Times New Roman"/>
          <w:sz w:val="24"/>
          <w:szCs w:val="24"/>
          <w:rtl w:val="0"/>
        </w:rPr>
        <w:t xml:space="preserve"> and the expected classification is missense.</w:t>
      </w:r>
    </w:p>
    <w:p w:rsidR="00000000" w:rsidDel="00000000" w:rsidP="00000000" w:rsidRDefault="00000000" w:rsidRPr="00000000" w14:paraId="0000004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approach is appropriate for establishing coding consequence. It becomes less informative once the question changes from “what changed?” to “what does the change do?”</w:t>
      </w:r>
    </w:p>
    <w:p w:rsidR="00000000" w:rsidDel="00000000" w:rsidP="00000000" w:rsidRDefault="00000000" w:rsidRPr="00000000" w14:paraId="0000004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literature on synonymous variants provides one example. Translation-based analysis can identify a synonymous substitution, but the same nucleotide change may influence splicing, RNA stability or translational dynamics (Sauna and Kimchi-Sarfaty 2011; Hunt et al. 2014). A protein-sequence comparison cannot observe those mechanisms.</w:t>
      </w:r>
    </w:p>
    <w:p w:rsidR="00000000" w:rsidDel="00000000" w:rsidP="00000000" w:rsidRDefault="00000000" w:rsidRPr="00000000" w14:paraId="0000004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Missense variants present another problem. Computational tools can evaluate conservation and structural features, but the functional effect of a particular substitution may depend on properties that are difficult to infer from sequence alone. The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literature illustrates this clearly. Computational predictions can provide useful evidence, yet electrophysiological measurements can distinguish variants with different effects on channel activity (Brunklaus et al. 2020; Knox et al. 2025).</w:t>
      </w:r>
    </w:p>
    <w:p w:rsidR="00000000" w:rsidDel="00000000" w:rsidP="00000000" w:rsidRDefault="00000000" w:rsidRPr="00000000" w14:paraId="0000004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2026 study of variants at the same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codon provides a further limitation. Four substitutions at the same position produced different functional outcomes (Liebovitz et al. 2026). A model that relied only on the location of the variant would miss that distinction.</w:t>
      </w:r>
    </w:p>
    <w:p w:rsidR="00000000" w:rsidDel="00000000" w:rsidP="00000000" w:rsidRDefault="00000000" w:rsidRPr="00000000" w14:paraId="0000004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appropriate computational extension is therefore not simply adding more categories to the existing classifier. A stronger system would connect the coding consequence to other forms of biological evidence. Population frequency could help identify variants that are too common to be plausible causes of rare disorders. Evolutionary conservation could provide evidence about constrained residues. Protein-domain information could identify variants located in regions with known functional roles. Structural modelling could generate hypotheses about stability or molecular interactions. Functional databases could provide experimental measurements where they exist.</w:t>
      </w:r>
    </w:p>
    <w:p w:rsidR="00000000" w:rsidDel="00000000" w:rsidP="00000000" w:rsidRDefault="00000000" w:rsidRPr="00000000" w14:paraId="0000004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CADD illustrates one way of integrating multiple annotations. Its framework combines diverse genomic features into a single score, allowing variants to be prioritised using information beyond the immediate coding consequence (Kircher et al. 2014).</w:t>
      </w:r>
    </w:p>
    <w:p w:rsidR="00000000" w:rsidDel="00000000" w:rsidP="00000000" w:rsidRDefault="00000000" w:rsidRPr="00000000" w14:paraId="0000004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GENELENS, this suggests a practical direction for future development. The existing mutation-analysis function could remain as the first step, while additional modules could retrieve conservation scores, population frequencies, known protein domains and previously reported functional data. The program already contains several components that could contribute to a broader analysis pipeline, including FASTA processing, neuroscience gene profiles and expression comparison.</w:t>
      </w:r>
    </w:p>
    <w:p w:rsidR="00000000" w:rsidDel="00000000" w:rsidP="00000000" w:rsidRDefault="00000000" w:rsidRPr="00000000" w14:paraId="0000004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also a methodological point worth retaining. The current classifier handles sequence-length changes separately but does not provide a complete interpretation of insertion, deletion or frameshift consequences. A research-oriented version would need explicit treatment of these variant classes, as well as transcript-aware annotation and alternative reading frames.</w:t>
      </w:r>
    </w:p>
    <w:p w:rsidR="00000000" w:rsidDel="00000000" w:rsidP="00000000" w:rsidRDefault="00000000" w:rsidRPr="00000000" w14:paraId="0000004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distinction between computational prediction and experimental evidence should remain visible in any future version. A computational model is valuable partly because it can reduce the number of variants requiring experimental investigation. SIFT was originally presented as a way of prioritising substitutions for functional testing, while CADD was designed to combine large numbers of annotations for genome-wide prioritisation (Ng and Henikoff 2001; Kircher et al. 2014).</w:t>
      </w:r>
    </w:p>
    <w:p w:rsidR="00000000" w:rsidDel="00000000" w:rsidP="00000000" w:rsidRDefault="00000000" w:rsidRPr="00000000" w14:paraId="0000004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strongest evidence can emerge when these approaches are connected. Knox et al. (2025) provide a useful example: functional channel measurements were incorporated into a neuronal model and then compared with clinical information. The resulting analysis connected variant sequence, channel behaviour, neuronal firing and patient phenotype within one study.</w:t>
      </w:r>
    </w:p>
    <w:p w:rsidR="00000000" w:rsidDel="00000000" w:rsidP="00000000" w:rsidRDefault="00000000" w:rsidRPr="00000000" w14:paraId="0000004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kind of integration is particularly relevant to computational neuroscience. A genetic variant does not cause a neurological phenotype simply because an amino acid has changed. Its effect depends on the behaviour of the resulting protein, the cells in which the protein is expressed and the larger physiological system in which those cells operate.</w:t>
      </w:r>
    </w:p>
    <w:p w:rsidR="00000000" w:rsidDel="00000000" w:rsidP="00000000" w:rsidRDefault="00000000" w:rsidRPr="00000000" w14:paraId="00000050">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v1wb53f8kfem" w:id="13"/>
      <w:bookmarkEnd w:id="13"/>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05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Coding-variant interpretation begins with a sequence change but does not end there. Synonymous variants can affect RNA biology even when the amino-acid sequence is unchanged. Missense variants can alter protein function in ways that depend on residue chemistry, structural context and the specific substitution. Nonsense variants can affect both translation and transcript stability through nonsense-mediated mRNA decay.</w:t>
      </w:r>
    </w:p>
    <w:p w:rsidR="00000000" w:rsidDel="00000000" w:rsidP="00000000" w:rsidRDefault="00000000" w:rsidRPr="00000000" w14:paraId="0000005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GENELENS mutation-analysis framework captures the first stage of this process by identifying the coding consequence of a reference-to-mutant sequence change. Its value lies in making this step explicit and reproducible.</w:t>
      </w:r>
    </w:p>
    <w:p w:rsidR="00000000" w:rsidDel="00000000" w:rsidP="00000000" w:rsidRDefault="00000000" w:rsidRPr="00000000" w14:paraId="0000005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literature shows why additional evidence is necessary. Functional studies have identified differences in sodium-channel activity among variants that would otherwise share the same broad sequence classification (Brunklaus et al. 2020; Knox et al. 2025). The observation that substitutions affecting the same codon can produce different electrophysiological properties further limits predictions based solely on variant position (Liebovitz et al. 2026).</w:t>
      </w:r>
    </w:p>
    <w:p w:rsidR="00000000" w:rsidDel="00000000" w:rsidP="00000000" w:rsidRDefault="00000000" w:rsidRPr="00000000" w14:paraId="0000005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computational biology, the practical implication is that sequence consequence should be treated as one layer of evidence. A more complete interpretation can incorporate evolutionary conservation, population frequency, structural context, transcript effects and functional measurements. Such an approach would allow GENELENS to develop from a sequence-analysis project into a more comprehensive research framework for studying the relationship between genetic variation and neuronal function.</w:t>
      </w:r>
    </w:p>
    <w:p w:rsidR="00000000" w:rsidDel="00000000" w:rsidP="00000000" w:rsidRDefault="00000000" w:rsidRPr="00000000" w14:paraId="00000055">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pu3i4bjf7z5g" w:id="14"/>
      <w:bookmarkEnd w:id="14"/>
      <w:r w:rsidDel="00000000" w:rsidR="00000000" w:rsidRPr="00000000">
        <w:rPr>
          <w:rFonts w:ascii="Times New Roman" w:cs="Times New Roman" w:eastAsia="Times New Roman" w:hAnsi="Times New Roman"/>
          <w:b w:val="1"/>
          <w:bCs w:val="1"/>
          <w:sz w:val="24"/>
          <w:szCs w:val="24"/>
          <w:rtl w:val="0"/>
        </w:rPr>
        <w:t xml:space="preserve">MATERIALS &amp; METHODS</w:t>
      </w:r>
    </w:p>
    <w:p w:rsidR="00000000" w:rsidDel="00000000" w:rsidP="00000000" w:rsidRDefault="00000000" w:rsidRPr="00000000" w14:paraId="00000056">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mym8yklt8qze" w:id="15"/>
      <w:bookmarkEnd w:id="15"/>
      <w:r w:rsidDel="00000000" w:rsidR="00000000" w:rsidRPr="00000000">
        <w:rPr>
          <w:rFonts w:ascii="Times New Roman" w:cs="Times New Roman" w:eastAsia="Times New Roman" w:hAnsi="Times New Roman"/>
          <w:b w:val="1"/>
          <w:bCs w:val="1"/>
          <w:color w:val="000000"/>
          <w:sz w:val="24"/>
          <w:szCs w:val="24"/>
          <w:rtl w:val="0"/>
        </w:rPr>
        <w:t xml:space="preserve">Review design</w:t>
      </w:r>
    </w:p>
    <w:p w:rsidR="00000000" w:rsidDel="00000000" w:rsidP="00000000" w:rsidRDefault="00000000" w:rsidRPr="00000000" w14:paraId="0000005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narrative literature review was conducted to examine the interpretation of coding variants, with emphasis on synonymous, missense and nonsense substitutions and their relevance to neurogenetics. The GENELENS source code provided the computational framework for the review. The mutation-analysis component was selected because it explicitly compares reference and altered DNA sequences, identifies the affected codon and classifies the resulting amino-acid consequence.</w:t>
      </w:r>
    </w:p>
    <w:p w:rsidR="00000000" w:rsidDel="00000000" w:rsidP="00000000" w:rsidRDefault="00000000" w:rsidRPr="00000000" w14:paraId="00000058">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ejqx55ct5ts8" w:id="16"/>
      <w:bookmarkEnd w:id="16"/>
      <w:r w:rsidDel="00000000" w:rsidR="00000000" w:rsidRPr="00000000">
        <w:rPr>
          <w:rFonts w:ascii="Times New Roman" w:cs="Times New Roman" w:eastAsia="Times New Roman" w:hAnsi="Times New Roman"/>
          <w:b w:val="1"/>
          <w:bCs w:val="1"/>
          <w:color w:val="000000"/>
          <w:sz w:val="24"/>
          <w:szCs w:val="24"/>
          <w:rtl w:val="0"/>
        </w:rPr>
        <w:t xml:space="preserve">Literature selection</w:t>
      </w:r>
    </w:p>
    <w:p w:rsidR="00000000" w:rsidDel="00000000" w:rsidP="00000000" w:rsidRDefault="00000000" w:rsidRPr="00000000" w14:paraId="0000005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Peer-reviewed research articles, methodological papers, reviews and professional guidelines were considered. Primary research was prioritised when discussing experimental effects of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variants. Methodological papers describing SIFT, PolyPhen-2 and CADD were included because they established widely used approaches for computational variant prioritisation. Reviews concerning synonymous variation and nonsense-mediated mRNA decay were used to provide mechanistic context.</w:t>
      </w:r>
    </w:p>
    <w:p w:rsidR="00000000" w:rsidDel="00000000" w:rsidP="00000000" w:rsidRDefault="00000000" w:rsidRPr="00000000" w14:paraId="0000005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literature was examined with particular attention to five questions: how coding substitutions are classified, how synonymous variants can affect gene expression, how missense variants can alter protein function, how nonsense variants interact with mRNA surveillance, and how functional data improve interpretation of </w:t>
      </w:r>
      <w:r w:rsidDel="00000000" w:rsidR="00000000" w:rsidRPr="00000000">
        <w:rPr>
          <w:rFonts w:ascii="Times New Roman" w:cs="Times New Roman" w:eastAsia="Times New Roman" w:hAnsi="Times New Roman"/>
          <w:i w:val="1"/>
          <w:iCs w:val="1"/>
          <w:sz w:val="24"/>
          <w:szCs w:val="24"/>
          <w:rtl w:val="0"/>
        </w:rPr>
        <w:t xml:space="preserve">SCN1A</w:t>
      </w:r>
      <w:r w:rsidDel="00000000" w:rsidR="00000000" w:rsidRPr="00000000">
        <w:rPr>
          <w:rFonts w:ascii="Times New Roman" w:cs="Times New Roman" w:eastAsia="Times New Roman" w:hAnsi="Times New Roman"/>
          <w:sz w:val="24"/>
          <w:szCs w:val="24"/>
          <w:rtl w:val="0"/>
        </w:rPr>
        <w:t xml:space="preserve"> variants.</w:t>
      </w:r>
    </w:p>
    <w:p w:rsidR="00000000" w:rsidDel="00000000" w:rsidP="00000000" w:rsidRDefault="00000000" w:rsidRPr="00000000" w14:paraId="0000005B">
      <w:pPr>
        <w:pStyle w:val="Heading3"/>
        <w:keepNext w:val="0"/>
        <w:keepLines w:val="0"/>
        <w:spacing w:before="280" w:lineRule="auto"/>
        <w:rPr>
          <w:rFonts w:ascii="Times New Roman" w:cs="Times New Roman" w:eastAsia="Times New Roman" w:hAnsi="Times New Roman"/>
          <w:b w:val="1"/>
          <w:bCs w:val="1"/>
          <w:color w:val="000000"/>
          <w:sz w:val="24"/>
          <w:szCs w:val="24"/>
        </w:rPr>
      </w:pPr>
      <w:bookmarkStart w:colFirst="0" w:colLast="0" w:name="_hyy00veztroz" w:id="17"/>
      <w:bookmarkEnd w:id="17"/>
      <w:r w:rsidDel="00000000" w:rsidR="00000000" w:rsidRPr="00000000">
        <w:rPr>
          <w:rFonts w:ascii="Times New Roman" w:cs="Times New Roman" w:eastAsia="Times New Roman" w:hAnsi="Times New Roman"/>
          <w:b w:val="1"/>
          <w:bCs w:val="1"/>
          <w:color w:val="000000"/>
          <w:sz w:val="24"/>
          <w:szCs w:val="24"/>
          <w:rtl w:val="0"/>
        </w:rPr>
        <w:t xml:space="preserve">Computational framework</w:t>
      </w:r>
    </w:p>
    <w:p w:rsidR="00000000" w:rsidDel="00000000" w:rsidP="00000000" w:rsidRDefault="00000000" w:rsidRPr="00000000" w14:paraId="0000005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GENELENS mutation-analysis workflow validates the input sequences, checks their lengths, verifies the mutation position, translates the reference and altered sequences within a specified reading frame and compares the amino acids at the affected codon. The function distinguishes synonymous, missense and nonsense outcomes and also identifies unchanged positions, invalid positions, sequence-length changes and mutations outside the selected reading frame.</w:t>
      </w:r>
    </w:p>
    <w:p w:rsidR="00000000" w:rsidDel="00000000" w:rsidP="00000000" w:rsidRDefault="00000000" w:rsidRPr="00000000" w14:paraId="0000005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project's unit-testing framework includes tests for sequence length, base composition, GC content, reverse complements, motif detection, translation, k-mer analysis, open reading frames, mutation classification and Gaussian probability calculations.</w:t>
      </w:r>
    </w:p>
    <w:p w:rsidR="00000000" w:rsidDel="00000000" w:rsidP="00000000" w:rsidRDefault="00000000" w:rsidRPr="00000000" w14:paraId="0000005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review treated computational classification as sequence-level annotation rather than clinical pathogenicity assessment. Clinical interpretation was discussed according to the broader evidence framework described by Richards et al. (2015).</w:t>
      </w:r>
    </w:p>
    <w:p w:rsidR="00000000" w:rsidDel="00000000" w:rsidP="00000000" w:rsidRDefault="00000000" w:rsidRPr="00000000" w14:paraId="0000005F">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v3a9zgi3u5zq" w:id="18"/>
      <w:bookmarkEnd w:id="18"/>
      <w:r w:rsidDel="00000000" w:rsidR="00000000" w:rsidRPr="00000000">
        <w:rPr>
          <w:rFonts w:ascii="Times New Roman" w:cs="Times New Roman" w:eastAsia="Times New Roman" w:hAnsi="Times New Roman"/>
          <w:b w:val="1"/>
          <w:bCs w:val="1"/>
          <w:sz w:val="24"/>
          <w:szCs w:val="24"/>
          <w:rtl w:val="0"/>
        </w:rPr>
        <w:t xml:space="preserve">ACKNOWLEDGMENTS</w:t>
      </w:r>
    </w:p>
    <w:p w:rsidR="00000000" w:rsidDel="00000000" w:rsidP="00000000" w:rsidRDefault="00000000" w:rsidRPr="00000000" w14:paraId="0000006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author thanks the researchers whose published work provided the scientific basis for this review and acknowledges the development work underlying the GENELENS computational project.</w:t>
      </w:r>
    </w:p>
    <w:p w:rsidR="00000000" w:rsidDel="00000000" w:rsidP="00000000" w:rsidRDefault="00000000" w:rsidRPr="00000000" w14:paraId="00000061">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41rdzbxokv58" w:id="19"/>
      <w:bookmarkEnd w:id="19"/>
      <w:r w:rsidDel="00000000" w:rsidR="00000000" w:rsidRPr="00000000">
        <w:rPr>
          <w:rFonts w:ascii="Times New Roman" w:cs="Times New Roman" w:eastAsia="Times New Roman" w:hAnsi="Times New Roman"/>
          <w:b w:val="1"/>
          <w:bCs w:val="1"/>
          <w:sz w:val="24"/>
          <w:szCs w:val="24"/>
          <w:rtl w:val="0"/>
        </w:rPr>
        <w:t xml:space="preserve">BIOGRAPHICAL STATEMENT</w:t>
      </w:r>
    </w:p>
    <w:p w:rsidR="00000000" w:rsidDel="00000000" w:rsidP="00000000" w:rsidRDefault="00000000" w:rsidRPr="00000000" w14:paraId="0000006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Öykü Nefes Özınanç is a high-school student researcher interested in molecular biology, genetics, neuroscience, bioinformatics and computational biology. Her research interests include DNA repair, genome stability, artificial intelligence and machine learning, biomedical engineering and precision medicine, and she has research experience as an intern at Deductra.</w:t>
      </w: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rFonts w:ascii="Times New Roman" w:cs="Times New Roman" w:eastAsia="Times New Roman" w:hAnsi="Times New Roman"/>
          <w:b w:val="1"/>
          <w:bCs w:val="1"/>
          <w:sz w:val="24"/>
          <w:szCs w:val="24"/>
        </w:rPr>
      </w:pPr>
      <w:bookmarkStart w:colFirst="0" w:colLast="0" w:name="_yvh8szvajnc2" w:id="20"/>
      <w:bookmarkEnd w:id="20"/>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6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Adzhubei, Ivan A., Steffen Schmidt, Leonid Peshkin, Vasily E. Ramensky, Anna Gerasimova, Peer Bork, Alexey S. Kondrashov, and Shamil R. Sunyaev. “A Method and Server for Predicting Damaging Missense Mutations.” </w:t>
      </w:r>
      <w:r w:rsidDel="00000000" w:rsidR="00000000" w:rsidRPr="00000000">
        <w:rPr>
          <w:rFonts w:ascii="Times New Roman" w:cs="Times New Roman" w:eastAsia="Times New Roman" w:hAnsi="Times New Roman"/>
          <w:i w:val="1"/>
          <w:iCs w:val="1"/>
          <w:sz w:val="24"/>
          <w:szCs w:val="24"/>
          <w:rtl w:val="0"/>
        </w:rPr>
        <w:t xml:space="preserve">Nature Methods</w:t>
      </w:r>
      <w:r w:rsidDel="00000000" w:rsidR="00000000" w:rsidRPr="00000000">
        <w:rPr>
          <w:rFonts w:ascii="Times New Roman" w:cs="Times New Roman" w:eastAsia="Times New Roman" w:hAnsi="Times New Roman"/>
          <w:sz w:val="24"/>
          <w:szCs w:val="24"/>
          <w:rtl w:val="0"/>
        </w:rPr>
        <w:t xml:space="preserve"> 7, no. 4 (2010): 248–249.</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https://doi.org/10.1038/nmeth0410-248</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Brunklaus, Andreas, Stephanie Schorge, Alexander D. Smith, Ismael Ghanty, Kirsty Stewart, Sarah Gardiner, Juanjiangmeng Du, Eduardo Pérez-Palma, Joseph D. Symonds, Abby C. Collier, Dennis Lal, and Sameer M. Zuberi. “SCN1A Variants from Bench to Bedside—Improved Clinical Prediction from Functional Characterization.” </w:t>
      </w:r>
      <w:r w:rsidDel="00000000" w:rsidR="00000000" w:rsidRPr="00000000">
        <w:rPr>
          <w:rFonts w:ascii="Times New Roman" w:cs="Times New Roman" w:eastAsia="Times New Roman" w:hAnsi="Times New Roman"/>
          <w:i w:val="1"/>
          <w:iCs w:val="1"/>
          <w:sz w:val="24"/>
          <w:szCs w:val="24"/>
          <w:rtl w:val="0"/>
        </w:rPr>
        <w:t xml:space="preserve">Human Mutation</w:t>
      </w:r>
      <w:r w:rsidDel="00000000" w:rsidR="00000000" w:rsidRPr="00000000">
        <w:rPr>
          <w:rFonts w:ascii="Times New Roman" w:cs="Times New Roman" w:eastAsia="Times New Roman" w:hAnsi="Times New Roman"/>
          <w:sz w:val="24"/>
          <w:szCs w:val="24"/>
          <w:rtl w:val="0"/>
        </w:rPr>
        <w:t xml:space="preserve"> 41, no. 2 (2020): 363–374. https://doi.org/10.1002/humu.23943.</w:t>
      </w:r>
    </w:p>
    <w:p w:rsidR="00000000" w:rsidDel="00000000" w:rsidP="00000000" w:rsidRDefault="00000000" w:rsidRPr="00000000" w14:paraId="0000006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Claes, Lieve, Jurgen Del-Favero, Bart Ceulemans, Lieve Lagae, Christine Van Broeckhoven, and Peter De Jonghe. “De Novo Mutations in the Sodium-Channel Gene SCN1A Cause Severe Myoclonic Epilepsy of Infancy.” </w:t>
      </w:r>
      <w:r w:rsidDel="00000000" w:rsidR="00000000" w:rsidRPr="00000000">
        <w:rPr>
          <w:rFonts w:ascii="Times New Roman" w:cs="Times New Roman" w:eastAsia="Times New Roman" w:hAnsi="Times New Roman"/>
          <w:i w:val="1"/>
          <w:iCs w:val="1"/>
          <w:sz w:val="24"/>
          <w:szCs w:val="24"/>
          <w:rtl w:val="0"/>
        </w:rPr>
        <w:t xml:space="preserve">American Journal of Human Genetics</w:t>
      </w:r>
      <w:r w:rsidDel="00000000" w:rsidR="00000000" w:rsidRPr="00000000">
        <w:rPr>
          <w:rFonts w:ascii="Times New Roman" w:cs="Times New Roman" w:eastAsia="Times New Roman" w:hAnsi="Times New Roman"/>
          <w:sz w:val="24"/>
          <w:szCs w:val="24"/>
          <w:rtl w:val="0"/>
        </w:rPr>
        <w:t xml:space="preserve"> 68, no. 6 (2001): 1327–1332.</w:t>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color w:val="1155cc"/>
            <w:sz w:val="24"/>
            <w:szCs w:val="24"/>
            <w:u w:val="single"/>
            <w:rtl w:val="0"/>
          </w:rPr>
          <w:t xml:space="preserve">https://doi.org/10.1086/320609</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Cooper, Gregory M., and Jay Shendure. “Needles in Stacks of Needles: Finding Disease-Causal Variants in a Wealth of Genomic Data.” </w:t>
      </w:r>
      <w:r w:rsidDel="00000000" w:rsidR="00000000" w:rsidRPr="00000000">
        <w:rPr>
          <w:rFonts w:ascii="Times New Roman" w:cs="Times New Roman" w:eastAsia="Times New Roman" w:hAnsi="Times New Roman"/>
          <w:i w:val="1"/>
          <w:iCs w:val="1"/>
          <w:sz w:val="24"/>
          <w:szCs w:val="24"/>
          <w:rtl w:val="0"/>
        </w:rPr>
        <w:t xml:space="preserve">Nature Reviews Genetics</w:t>
      </w:r>
      <w:r w:rsidDel="00000000" w:rsidR="00000000" w:rsidRPr="00000000">
        <w:rPr>
          <w:rFonts w:ascii="Times New Roman" w:cs="Times New Roman" w:eastAsia="Times New Roman" w:hAnsi="Times New Roman"/>
          <w:sz w:val="24"/>
          <w:szCs w:val="24"/>
          <w:rtl w:val="0"/>
        </w:rPr>
        <w:t xml:space="preserve"> 12 (2011): 628–640.</w:t>
      </w:r>
    </w:p>
    <w:p w:rsidR="00000000" w:rsidDel="00000000" w:rsidP="00000000" w:rsidRDefault="00000000" w:rsidRPr="00000000" w14:paraId="0000006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Escayg, Andrew, and Alan L. Goldin. “Sodium Channel SCN1A and Epilepsy: Mutations and Mechanisms.” </w:t>
      </w:r>
      <w:r w:rsidDel="00000000" w:rsidR="00000000" w:rsidRPr="00000000">
        <w:rPr>
          <w:rFonts w:ascii="Times New Roman" w:cs="Times New Roman" w:eastAsia="Times New Roman" w:hAnsi="Times New Roman"/>
          <w:i w:val="1"/>
          <w:iCs w:val="1"/>
          <w:sz w:val="24"/>
          <w:szCs w:val="24"/>
          <w:rtl w:val="0"/>
        </w:rPr>
        <w:t xml:space="preserve">Epilepsia</w:t>
      </w:r>
      <w:r w:rsidDel="00000000" w:rsidR="00000000" w:rsidRPr="00000000">
        <w:rPr>
          <w:rFonts w:ascii="Times New Roman" w:cs="Times New Roman" w:eastAsia="Times New Roman" w:hAnsi="Times New Roman"/>
          <w:sz w:val="24"/>
          <w:szCs w:val="24"/>
          <w:rtl w:val="0"/>
        </w:rPr>
        <w:t xml:space="preserve"> 51, no. 9 (2010): 1650–1658.</w:t>
      </w:r>
    </w:p>
    <w:p w:rsidR="00000000" w:rsidDel="00000000" w:rsidP="00000000" w:rsidRDefault="00000000" w:rsidRPr="00000000" w14:paraId="0000006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Feng, and Allan Jacobson. “Nonsense-Mediated mRNA Decay: Degradation of Defective Transcripts Is Only Part of the Story.” </w:t>
      </w:r>
      <w:r w:rsidDel="00000000" w:rsidR="00000000" w:rsidRPr="00000000">
        <w:rPr>
          <w:rFonts w:ascii="Times New Roman" w:cs="Times New Roman" w:eastAsia="Times New Roman" w:hAnsi="Times New Roman"/>
          <w:i w:val="1"/>
          <w:iCs w:val="1"/>
          <w:sz w:val="24"/>
          <w:szCs w:val="24"/>
          <w:rtl w:val="0"/>
        </w:rPr>
        <w:t xml:space="preserve">Annual Review of Genetics</w:t>
      </w:r>
      <w:r w:rsidDel="00000000" w:rsidR="00000000" w:rsidRPr="00000000">
        <w:rPr>
          <w:rFonts w:ascii="Times New Roman" w:cs="Times New Roman" w:eastAsia="Times New Roman" w:hAnsi="Times New Roman"/>
          <w:sz w:val="24"/>
          <w:szCs w:val="24"/>
          <w:rtl w:val="0"/>
        </w:rPr>
        <w:t xml:space="preserve"> 49 (2015): 339–366. https://doi.org/10.1146/annurev-genet-112414-054639.</w:t>
      </w:r>
    </w:p>
    <w:p w:rsidR="00000000" w:rsidDel="00000000" w:rsidP="00000000" w:rsidRDefault="00000000" w:rsidRPr="00000000" w14:paraId="0000006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Hunt, R. C., J. D. Simhadri, Z. I. Iandoli, D. L. Sauna, and C. Kimchi-Sarfaty. “Exposing Synonymous Mutations.” </w:t>
      </w:r>
      <w:r w:rsidDel="00000000" w:rsidR="00000000" w:rsidRPr="00000000">
        <w:rPr>
          <w:rFonts w:ascii="Times New Roman" w:cs="Times New Roman" w:eastAsia="Times New Roman" w:hAnsi="Times New Roman"/>
          <w:i w:val="1"/>
          <w:iCs w:val="1"/>
          <w:sz w:val="24"/>
          <w:szCs w:val="24"/>
          <w:rtl w:val="0"/>
        </w:rPr>
        <w:t xml:space="preserve">Trends in Genetics</w:t>
      </w:r>
      <w:r w:rsidDel="00000000" w:rsidR="00000000" w:rsidRPr="00000000">
        <w:rPr>
          <w:rFonts w:ascii="Times New Roman" w:cs="Times New Roman" w:eastAsia="Times New Roman" w:hAnsi="Times New Roman"/>
          <w:sz w:val="24"/>
          <w:szCs w:val="24"/>
          <w:rtl w:val="0"/>
        </w:rPr>
        <w:t xml:space="preserve"> 30, no. 7 (2014): 308–321. https://doi.org/10.1016/j.tig.2014.04.006.</w:t>
      </w:r>
    </w:p>
    <w:p w:rsidR="00000000" w:rsidDel="00000000" w:rsidP="00000000" w:rsidRDefault="00000000" w:rsidRPr="00000000" w14:paraId="0000006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Knox, Andrew T., Christopher H. Thompson, Dillon Scott, Tatiana V. Abramova, Bethany Stieve, Abigail Freeman, and Alfred L. George Jr. “Genotype-Function-Phenotype Correlations for SCN1A Variants Identified by Clinical Genetic Testing.” </w:t>
      </w:r>
      <w:r w:rsidDel="00000000" w:rsidR="00000000" w:rsidRPr="00000000">
        <w:rPr>
          <w:rFonts w:ascii="Times New Roman" w:cs="Times New Roman" w:eastAsia="Times New Roman" w:hAnsi="Times New Roman"/>
          <w:i w:val="1"/>
          <w:iCs w:val="1"/>
          <w:sz w:val="24"/>
          <w:szCs w:val="24"/>
          <w:rtl w:val="0"/>
        </w:rPr>
        <w:t xml:space="preserve">Annals of Clinical and Translational Neurology</w:t>
      </w:r>
      <w:r w:rsidDel="00000000" w:rsidR="00000000" w:rsidRPr="00000000">
        <w:rPr>
          <w:rFonts w:ascii="Times New Roman" w:cs="Times New Roman" w:eastAsia="Times New Roman" w:hAnsi="Times New Roman"/>
          <w:sz w:val="24"/>
          <w:szCs w:val="24"/>
          <w:rtl w:val="0"/>
        </w:rPr>
        <w:t xml:space="preserve"> 12, no. 3 (2025): 499–511. https://doi.org/10.1002/acn3.52297.</w:t>
      </w:r>
    </w:p>
    <w:p w:rsidR="00000000" w:rsidDel="00000000" w:rsidP="00000000" w:rsidRDefault="00000000" w:rsidRPr="00000000" w14:paraId="0000006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Kircher, Martin, Daniela M. Witten, Preti Jain, Brian J. O’Roak, Gregory M. Cooper, and Jay Shendure. “A General Framework for Estimating the Relative Pathogenicity of Human Genetic Variants.” </w:t>
      </w:r>
      <w:r w:rsidDel="00000000" w:rsidR="00000000" w:rsidRPr="00000000">
        <w:rPr>
          <w:rFonts w:ascii="Times New Roman" w:cs="Times New Roman" w:eastAsia="Times New Roman" w:hAnsi="Times New Roman"/>
          <w:i w:val="1"/>
          <w:iCs w:val="1"/>
          <w:sz w:val="24"/>
          <w:szCs w:val="24"/>
          <w:rtl w:val="0"/>
        </w:rPr>
        <w:t xml:space="preserve">Nature Genetics</w:t>
      </w:r>
      <w:r w:rsidDel="00000000" w:rsidR="00000000" w:rsidRPr="00000000">
        <w:rPr>
          <w:rFonts w:ascii="Times New Roman" w:cs="Times New Roman" w:eastAsia="Times New Roman" w:hAnsi="Times New Roman"/>
          <w:sz w:val="24"/>
          <w:szCs w:val="24"/>
          <w:rtl w:val="0"/>
        </w:rPr>
        <w:t xml:space="preserve"> 46, no. 3 (2014): 310–315.</w:t>
      </w:r>
      <w:hyperlink r:id="rId10">
        <w:r w:rsidDel="00000000" w:rsidR="00000000" w:rsidRPr="00000000">
          <w:rPr>
            <w:rFonts w:ascii="Times New Roman" w:cs="Times New Roman" w:eastAsia="Times New Roman" w:hAnsi="Times New Roman"/>
            <w:sz w:val="24"/>
            <w:szCs w:val="24"/>
            <w:rtl w:val="0"/>
          </w:rPr>
          <w:t xml:space="preserve"> </w:t>
        </w:r>
      </w:hyperlink>
      <w:hyperlink r:id="rId11">
        <w:r w:rsidDel="00000000" w:rsidR="00000000" w:rsidRPr="00000000">
          <w:rPr>
            <w:rFonts w:ascii="Times New Roman" w:cs="Times New Roman" w:eastAsia="Times New Roman" w:hAnsi="Times New Roman"/>
            <w:color w:val="1155cc"/>
            <w:sz w:val="24"/>
            <w:szCs w:val="24"/>
            <w:u w:val="single"/>
            <w:rtl w:val="0"/>
          </w:rPr>
          <w:t xml:space="preserve">https://doi.org/10.1038/ng.2892</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Liebovitz, L. N., C. H. Thompson, L. C. Laux, and A. L. George Jr. “Epilepsy-Associated Variants of a Single SCN1A Codon Exhibit Divergent Functional Properties.” </w:t>
      </w:r>
      <w:r w:rsidDel="00000000" w:rsidR="00000000" w:rsidRPr="00000000">
        <w:rPr>
          <w:rFonts w:ascii="Times New Roman" w:cs="Times New Roman" w:eastAsia="Times New Roman" w:hAnsi="Times New Roman"/>
          <w:i w:val="1"/>
          <w:iCs w:val="1"/>
          <w:sz w:val="24"/>
          <w:szCs w:val="24"/>
          <w:rtl w:val="0"/>
        </w:rPr>
        <w:t xml:space="preserve">Annals of Clinical and Translational Neurology</w:t>
      </w:r>
      <w:r w:rsidDel="00000000" w:rsidR="00000000" w:rsidRPr="00000000">
        <w:rPr>
          <w:rFonts w:ascii="Times New Roman" w:cs="Times New Roman" w:eastAsia="Times New Roman" w:hAnsi="Times New Roman"/>
          <w:sz w:val="24"/>
          <w:szCs w:val="24"/>
          <w:rtl w:val="0"/>
        </w:rPr>
        <w:t xml:space="preserve"> (2026).</w:t>
      </w:r>
      <w:hyperlink r:id="rId12">
        <w:r w:rsidDel="00000000" w:rsidR="00000000" w:rsidRPr="00000000">
          <w:rPr>
            <w:rFonts w:ascii="Times New Roman" w:cs="Times New Roman" w:eastAsia="Times New Roman" w:hAnsi="Times New Roman"/>
            <w:sz w:val="24"/>
            <w:szCs w:val="24"/>
            <w:rtl w:val="0"/>
          </w:rPr>
          <w:t xml:space="preserve"> </w:t>
        </w:r>
      </w:hyperlink>
      <w:hyperlink r:id="rId13">
        <w:r w:rsidDel="00000000" w:rsidR="00000000" w:rsidRPr="00000000">
          <w:rPr>
            <w:rFonts w:ascii="Times New Roman" w:cs="Times New Roman" w:eastAsia="Times New Roman" w:hAnsi="Times New Roman"/>
            <w:color w:val="1155cc"/>
            <w:sz w:val="24"/>
            <w:szCs w:val="24"/>
            <w:u w:val="single"/>
            <w:rtl w:val="0"/>
          </w:rPr>
          <w:t xml:space="preserve">https://pubmed.ncbi.nlm.nih.gov/41718449/</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Lindeboom, Rik G. H., Fran Supek, and Ben Lehner. “The Rules and Impact of Nonsense-Mediated mRNA Decay in Human Genetic Disease.” </w:t>
      </w:r>
      <w:r w:rsidDel="00000000" w:rsidR="00000000" w:rsidRPr="00000000">
        <w:rPr>
          <w:rFonts w:ascii="Times New Roman" w:cs="Times New Roman" w:eastAsia="Times New Roman" w:hAnsi="Times New Roman"/>
          <w:i w:val="1"/>
          <w:iCs w:val="1"/>
          <w:sz w:val="24"/>
          <w:szCs w:val="24"/>
          <w:rtl w:val="0"/>
        </w:rPr>
        <w:t xml:space="preserve">Nature Genetics</w:t>
      </w:r>
      <w:r w:rsidDel="00000000" w:rsidR="00000000" w:rsidRPr="00000000">
        <w:rPr>
          <w:rFonts w:ascii="Times New Roman" w:cs="Times New Roman" w:eastAsia="Times New Roman" w:hAnsi="Times New Roman"/>
          <w:sz w:val="24"/>
          <w:szCs w:val="24"/>
          <w:rtl w:val="0"/>
        </w:rPr>
        <w:t xml:space="preserve"> 48, no. 10 (2016): 1092–1101. https://doi.org/10.1038/ng.3664.</w:t>
      </w:r>
    </w:p>
    <w:p w:rsidR="00000000" w:rsidDel="00000000" w:rsidP="00000000" w:rsidRDefault="00000000" w:rsidRPr="00000000" w14:paraId="0000006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 Pauline C., and Steven Henikoff. “Predicting Deleterious Amino Acid Substitutions.” </w:t>
      </w:r>
      <w:r w:rsidDel="00000000" w:rsidR="00000000" w:rsidRPr="00000000">
        <w:rPr>
          <w:rFonts w:ascii="Times New Roman" w:cs="Times New Roman" w:eastAsia="Times New Roman" w:hAnsi="Times New Roman"/>
          <w:i w:val="1"/>
          <w:iCs w:val="1"/>
          <w:sz w:val="24"/>
          <w:szCs w:val="24"/>
          <w:rtl w:val="0"/>
        </w:rPr>
        <w:t xml:space="preserve">Genome Research</w:t>
      </w:r>
      <w:r w:rsidDel="00000000" w:rsidR="00000000" w:rsidRPr="00000000">
        <w:rPr>
          <w:rFonts w:ascii="Times New Roman" w:cs="Times New Roman" w:eastAsia="Times New Roman" w:hAnsi="Times New Roman"/>
          <w:sz w:val="24"/>
          <w:szCs w:val="24"/>
          <w:rtl w:val="0"/>
        </w:rPr>
        <w:t xml:space="preserve"> 11, no. 5 (2001): 863–874.</w:t>
      </w:r>
      <w:hyperlink r:id="rId14">
        <w:r w:rsidDel="00000000" w:rsidR="00000000" w:rsidRPr="00000000">
          <w:rPr>
            <w:rFonts w:ascii="Times New Roman" w:cs="Times New Roman" w:eastAsia="Times New Roman" w:hAnsi="Times New Roman"/>
            <w:sz w:val="24"/>
            <w:szCs w:val="24"/>
            <w:rtl w:val="0"/>
          </w:rPr>
          <w:t xml:space="preserve"> </w:t>
        </w:r>
      </w:hyperlink>
      <w:hyperlink r:id="rId15">
        <w:r w:rsidDel="00000000" w:rsidR="00000000" w:rsidRPr="00000000">
          <w:rPr>
            <w:rFonts w:ascii="Times New Roman" w:cs="Times New Roman" w:eastAsia="Times New Roman" w:hAnsi="Times New Roman"/>
            <w:color w:val="1155cc"/>
            <w:sz w:val="24"/>
            <w:szCs w:val="24"/>
            <w:u w:val="single"/>
            <w:rtl w:val="0"/>
          </w:rPr>
          <w:t xml:space="preserve">https://doi.org/10.1101/gr.176601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Richards, Sue, Nazneen Aziz, Sherri Bale, David Bick, Soma Das, Julie Gastier-Foster, Wayne W. Grody, Madhuri Hegde, Elaine Lyon, Elaine Spector, Karl Voelkerding, and Heidi L. Rehm. “Standards and Guidelines for the Interpretation of Sequence Variants: A Joint Consensus Recommendation of the American College of Medical Genetics and Genomics and the Association for Molecular Pathology.” </w:t>
      </w:r>
      <w:r w:rsidDel="00000000" w:rsidR="00000000" w:rsidRPr="00000000">
        <w:rPr>
          <w:rFonts w:ascii="Times New Roman" w:cs="Times New Roman" w:eastAsia="Times New Roman" w:hAnsi="Times New Roman"/>
          <w:i w:val="1"/>
          <w:iCs w:val="1"/>
          <w:sz w:val="24"/>
          <w:szCs w:val="24"/>
          <w:rtl w:val="0"/>
        </w:rPr>
        <w:t xml:space="preserve">Genetics in Medicine</w:t>
      </w:r>
      <w:r w:rsidDel="00000000" w:rsidR="00000000" w:rsidRPr="00000000">
        <w:rPr>
          <w:rFonts w:ascii="Times New Roman" w:cs="Times New Roman" w:eastAsia="Times New Roman" w:hAnsi="Times New Roman"/>
          <w:sz w:val="24"/>
          <w:szCs w:val="24"/>
          <w:rtl w:val="0"/>
        </w:rPr>
        <w:t xml:space="preserve"> 17, no. 5 (2015): 405–423.</w:t>
      </w:r>
      <w:hyperlink r:id="rId16">
        <w:r w:rsidDel="00000000" w:rsidR="00000000" w:rsidRPr="00000000">
          <w:rPr>
            <w:rFonts w:ascii="Times New Roman" w:cs="Times New Roman" w:eastAsia="Times New Roman" w:hAnsi="Times New Roman"/>
            <w:sz w:val="24"/>
            <w:szCs w:val="24"/>
            <w:rtl w:val="0"/>
          </w:rPr>
          <w:t xml:space="preserve"> </w:t>
        </w:r>
      </w:hyperlink>
      <w:hyperlink r:id="rId17">
        <w:r w:rsidDel="00000000" w:rsidR="00000000" w:rsidRPr="00000000">
          <w:rPr>
            <w:rFonts w:ascii="Times New Roman" w:cs="Times New Roman" w:eastAsia="Times New Roman" w:hAnsi="Times New Roman"/>
            <w:color w:val="1155cc"/>
            <w:sz w:val="24"/>
            <w:szCs w:val="24"/>
            <w:u w:val="single"/>
            <w:rtl w:val="0"/>
          </w:rPr>
          <w:t xml:space="preserve">https://doi.org/10.1038/gim.2015.30</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Sadleir, Lisa G., et al. “Genotype-Phenotype Associations in 1018 Individuals with SCN1A-Related Epilepsies.” (2024).</w:t>
      </w:r>
      <w:hyperlink r:id="rId18">
        <w:r w:rsidDel="00000000" w:rsidR="00000000" w:rsidRPr="00000000">
          <w:rPr>
            <w:rFonts w:ascii="Times New Roman" w:cs="Times New Roman" w:eastAsia="Times New Roman" w:hAnsi="Times New Roman"/>
            <w:sz w:val="24"/>
            <w:szCs w:val="24"/>
            <w:rtl w:val="0"/>
          </w:rPr>
          <w:t xml:space="preserve"> </w:t>
        </w:r>
      </w:hyperlink>
      <w:hyperlink r:id="rId19">
        <w:r w:rsidDel="00000000" w:rsidR="00000000" w:rsidRPr="00000000">
          <w:rPr>
            <w:rFonts w:ascii="Times New Roman" w:cs="Times New Roman" w:eastAsia="Times New Roman" w:hAnsi="Times New Roman"/>
            <w:color w:val="1155cc"/>
            <w:sz w:val="24"/>
            <w:szCs w:val="24"/>
            <w:u w:val="single"/>
            <w:rtl w:val="0"/>
          </w:rPr>
          <w:t xml:space="preserve">https://pubmed.ncbi.nlm.nih.gov/38410936/</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Sander, J. D., et al. “A Minimal Role for Synonymous Variation in Human Disease.” (2022).</w:t>
      </w:r>
      <w:hyperlink r:id="rId20">
        <w:r w:rsidDel="00000000" w:rsidR="00000000" w:rsidRPr="00000000">
          <w:rPr>
            <w:rFonts w:ascii="Times New Roman" w:cs="Times New Roman" w:eastAsia="Times New Roman" w:hAnsi="Times New Roman"/>
            <w:sz w:val="24"/>
            <w:szCs w:val="24"/>
            <w:rtl w:val="0"/>
          </w:rPr>
          <w:t xml:space="preserve"> </w:t>
        </w:r>
      </w:hyperlink>
      <w:hyperlink r:id="rId21">
        <w:r w:rsidDel="00000000" w:rsidR="00000000" w:rsidRPr="00000000">
          <w:rPr>
            <w:rFonts w:ascii="Times New Roman" w:cs="Times New Roman" w:eastAsia="Times New Roman" w:hAnsi="Times New Roman"/>
            <w:color w:val="1155cc"/>
            <w:sz w:val="24"/>
            <w:szCs w:val="24"/>
            <w:u w:val="single"/>
            <w:rtl w:val="0"/>
          </w:rPr>
          <w:t xml:space="preserve">https://pubmed.ncbi.nlm.nih.gov/36459978/</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Sauna, Zuben E., and Chava Kimchi-Sarfaty. “Understanding the Contribution of Synonymous Mutations to Human Disease.” </w:t>
      </w:r>
      <w:r w:rsidDel="00000000" w:rsidR="00000000" w:rsidRPr="00000000">
        <w:rPr>
          <w:rFonts w:ascii="Times New Roman" w:cs="Times New Roman" w:eastAsia="Times New Roman" w:hAnsi="Times New Roman"/>
          <w:i w:val="1"/>
          <w:iCs w:val="1"/>
          <w:sz w:val="24"/>
          <w:szCs w:val="24"/>
          <w:rtl w:val="0"/>
        </w:rPr>
        <w:t xml:space="preserve">Nature Reviews Genetics</w:t>
      </w:r>
      <w:r w:rsidDel="00000000" w:rsidR="00000000" w:rsidRPr="00000000">
        <w:rPr>
          <w:rFonts w:ascii="Times New Roman" w:cs="Times New Roman" w:eastAsia="Times New Roman" w:hAnsi="Times New Roman"/>
          <w:sz w:val="24"/>
          <w:szCs w:val="24"/>
          <w:rtl w:val="0"/>
        </w:rPr>
        <w:t xml:space="preserve"> 12, no. 10 (2011): 683–691.</w:t>
      </w:r>
      <w:hyperlink r:id="rId22">
        <w:r w:rsidDel="00000000" w:rsidR="00000000" w:rsidRPr="00000000">
          <w:rPr>
            <w:rFonts w:ascii="Times New Roman" w:cs="Times New Roman" w:eastAsia="Times New Roman" w:hAnsi="Times New Roman"/>
            <w:sz w:val="24"/>
            <w:szCs w:val="24"/>
            <w:rtl w:val="0"/>
          </w:rPr>
          <w:t xml:space="preserve"> </w:t>
        </w:r>
      </w:hyperlink>
      <w:hyperlink r:id="rId23">
        <w:r w:rsidDel="00000000" w:rsidR="00000000" w:rsidRPr="00000000">
          <w:rPr>
            <w:rFonts w:ascii="Times New Roman" w:cs="Times New Roman" w:eastAsia="Times New Roman" w:hAnsi="Times New Roman"/>
            <w:color w:val="1155cc"/>
            <w:sz w:val="24"/>
            <w:szCs w:val="24"/>
            <w:u w:val="single"/>
            <w:rtl w:val="0"/>
          </w:rPr>
          <w:t xml:space="preserve">https://doi.org/10.1038/nrg3051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Supek, Fran, Ben Lehner, and Rik G. H. Lindeboom. “To NMD or Not To NMD: Nonsense-Mediated mRNA Decay in Cancer and Other Genetic Diseases.” </w:t>
      </w:r>
      <w:r w:rsidDel="00000000" w:rsidR="00000000" w:rsidRPr="00000000">
        <w:rPr>
          <w:rFonts w:ascii="Times New Roman" w:cs="Times New Roman" w:eastAsia="Times New Roman" w:hAnsi="Times New Roman"/>
          <w:i w:val="1"/>
          <w:iCs w:val="1"/>
          <w:sz w:val="24"/>
          <w:szCs w:val="24"/>
          <w:rtl w:val="0"/>
        </w:rPr>
        <w:t xml:space="preserve">Trends in Genetics</w:t>
      </w:r>
      <w:r w:rsidDel="00000000" w:rsidR="00000000" w:rsidRPr="00000000">
        <w:rPr>
          <w:rFonts w:ascii="Times New Roman" w:cs="Times New Roman" w:eastAsia="Times New Roman" w:hAnsi="Times New Roman"/>
          <w:sz w:val="24"/>
          <w:szCs w:val="24"/>
          <w:rtl w:val="0"/>
        </w:rPr>
        <w:t xml:space="preserve"> 37, no. 7 (2021): 657–668. https://doi.org/10.1016/j.tig.2020.11.002.</w:t>
      </w:r>
    </w:p>
    <w:p w:rsidR="00000000" w:rsidDel="00000000" w:rsidP="00000000" w:rsidRDefault="00000000" w:rsidRPr="00000000" w14:paraId="0000007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Yu, F. H., W. B. Mantegazza, R. E. Westenbroek, C. A. Robbins, R. J. Kalume, J. Burton, K. Spain, and T. C. Scheuer. “Reduced Sodium Current in GABAergic Interneurons in a Mouse Model of Severe Myoclonic Epilepsy in Infancy.” </w:t>
      </w:r>
      <w:r w:rsidDel="00000000" w:rsidR="00000000" w:rsidRPr="00000000">
        <w:rPr>
          <w:rFonts w:ascii="Times New Roman" w:cs="Times New Roman" w:eastAsia="Times New Roman" w:hAnsi="Times New Roman"/>
          <w:i w:val="1"/>
          <w:iCs w:val="1"/>
          <w:sz w:val="24"/>
          <w:szCs w:val="24"/>
          <w:rtl w:val="0"/>
        </w:rPr>
        <w:t xml:space="preserve">Nature Neuroscience</w:t>
      </w:r>
      <w:r w:rsidDel="00000000" w:rsidR="00000000" w:rsidRPr="00000000">
        <w:rPr>
          <w:rFonts w:ascii="Times New Roman" w:cs="Times New Roman" w:eastAsia="Times New Roman" w:hAnsi="Times New Roman"/>
          <w:sz w:val="24"/>
          <w:szCs w:val="24"/>
          <w:rtl w:val="0"/>
        </w:rPr>
        <w:t xml:space="preserve"> (2006).</w:t>
      </w:r>
    </w:p>
    <w:p w:rsidR="00000000" w:rsidDel="00000000" w:rsidP="00000000" w:rsidRDefault="00000000" w:rsidRPr="00000000" w14:paraId="0000007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et al. “A Study among the Genotype, Functional Alterations, and Phenotype of 9 SCN1A Mutations in Epilepsy Patients.” </w:t>
      </w:r>
      <w:r w:rsidDel="00000000" w:rsidR="00000000" w:rsidRPr="00000000">
        <w:rPr>
          <w:rFonts w:ascii="Times New Roman" w:cs="Times New Roman" w:eastAsia="Times New Roman" w:hAnsi="Times New Roman"/>
          <w:i w:val="1"/>
          <w:iCs w:val="1"/>
          <w:sz w:val="24"/>
          <w:szCs w:val="24"/>
          <w:rtl w:val="0"/>
        </w:rPr>
        <w:t xml:space="preserve">Molecular Genetics &amp; Genomic Medicine</w:t>
      </w:r>
      <w:r w:rsidDel="00000000" w:rsidR="00000000" w:rsidRPr="00000000">
        <w:rPr>
          <w:rFonts w:ascii="Times New Roman" w:cs="Times New Roman" w:eastAsia="Times New Roman" w:hAnsi="Times New Roman"/>
          <w:sz w:val="24"/>
          <w:szCs w:val="24"/>
          <w:rtl w:val="0"/>
        </w:rPr>
        <w:t xml:space="preserve"> (2020).</w:t>
      </w:r>
      <w:hyperlink r:id="rId24">
        <w:r w:rsidDel="00000000" w:rsidR="00000000" w:rsidRPr="00000000">
          <w:rPr>
            <w:rFonts w:ascii="Times New Roman" w:cs="Times New Roman" w:eastAsia="Times New Roman" w:hAnsi="Times New Roman"/>
            <w:sz w:val="24"/>
            <w:szCs w:val="24"/>
            <w:rtl w:val="0"/>
          </w:rPr>
          <w:t xml:space="preserve"> </w:t>
        </w:r>
      </w:hyperlink>
      <w:hyperlink r:id="rId25">
        <w:r w:rsidDel="00000000" w:rsidR="00000000" w:rsidRPr="00000000">
          <w:rPr>
            <w:rFonts w:ascii="Times New Roman" w:cs="Times New Roman" w:eastAsia="Times New Roman" w:hAnsi="Times New Roman"/>
            <w:color w:val="1155cc"/>
            <w:sz w:val="24"/>
            <w:szCs w:val="24"/>
            <w:u w:val="single"/>
            <w:rtl w:val="0"/>
          </w:rPr>
          <w:t xml:space="preserve">https://pubmed.ncbi.nlm.nih.gov/32581296/</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7">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pubmed.ncbi.nlm.nih.gov/36459978/?utm_source=chatgpt.com" TargetMode="External"/><Relationship Id="rId22" Type="http://schemas.openxmlformats.org/officeDocument/2006/relationships/hyperlink" Target="https://doi.org/10.1038/nrg3051" TargetMode="External"/><Relationship Id="rId21" Type="http://schemas.openxmlformats.org/officeDocument/2006/relationships/hyperlink" Target="https://pubmed.ncbi.nlm.nih.gov/36459978/?utm_source=chatgpt.com" TargetMode="External"/><Relationship Id="rId24" Type="http://schemas.openxmlformats.org/officeDocument/2006/relationships/hyperlink" Target="https://pubmed.ncbi.nlm.nih.gov/32581296/?utm_source=chatgpt.com" TargetMode="External"/><Relationship Id="rId23" Type="http://schemas.openxmlformats.org/officeDocument/2006/relationships/hyperlink" Target="https://doi.org/10.1038/nrg305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86/320609" TargetMode="External"/><Relationship Id="rId25" Type="http://schemas.openxmlformats.org/officeDocument/2006/relationships/hyperlink" Target="https://pubmed.ncbi.nlm.nih.gov/32581296/?utm_source=chatgpt.com" TargetMode="External"/><Relationship Id="rId5" Type="http://schemas.openxmlformats.org/officeDocument/2006/relationships/styles" Target="styles.xml"/><Relationship Id="rId6" Type="http://schemas.openxmlformats.org/officeDocument/2006/relationships/hyperlink" Target="https://doi.org/10.1038/nmeth0410-248" TargetMode="External"/><Relationship Id="rId7" Type="http://schemas.openxmlformats.org/officeDocument/2006/relationships/hyperlink" Target="https://doi.org/10.1038/nmeth0410-248" TargetMode="External"/><Relationship Id="rId8" Type="http://schemas.openxmlformats.org/officeDocument/2006/relationships/hyperlink" Target="https://doi.org/10.1086/320609" TargetMode="External"/><Relationship Id="rId11" Type="http://schemas.openxmlformats.org/officeDocument/2006/relationships/hyperlink" Target="https://doi.org/10.1038/ng.2892" TargetMode="External"/><Relationship Id="rId10" Type="http://schemas.openxmlformats.org/officeDocument/2006/relationships/hyperlink" Target="https://doi.org/10.1038/ng.2892" TargetMode="External"/><Relationship Id="rId13" Type="http://schemas.openxmlformats.org/officeDocument/2006/relationships/hyperlink" Target="https://pubmed.ncbi.nlm.nih.gov/41718449/?utm_source=chatgpt.com" TargetMode="External"/><Relationship Id="rId12" Type="http://schemas.openxmlformats.org/officeDocument/2006/relationships/hyperlink" Target="https://pubmed.ncbi.nlm.nih.gov/41718449/?utm_source=chatgpt.com" TargetMode="External"/><Relationship Id="rId15" Type="http://schemas.openxmlformats.org/officeDocument/2006/relationships/hyperlink" Target="https://doi.org/10.1101/gr.176601" TargetMode="External"/><Relationship Id="rId14" Type="http://schemas.openxmlformats.org/officeDocument/2006/relationships/hyperlink" Target="https://doi.org/10.1101/gr.176601" TargetMode="External"/><Relationship Id="rId17" Type="http://schemas.openxmlformats.org/officeDocument/2006/relationships/hyperlink" Target="https://doi.org/10.1038/gim.2015.30" TargetMode="External"/><Relationship Id="rId16" Type="http://schemas.openxmlformats.org/officeDocument/2006/relationships/hyperlink" Target="https://doi.org/10.1038/gim.2015.30" TargetMode="External"/><Relationship Id="rId19" Type="http://schemas.openxmlformats.org/officeDocument/2006/relationships/hyperlink" Target="https://pubmed.ncbi.nlm.nih.gov/38410936/?utm_source=chatgpt.com" TargetMode="External"/><Relationship Id="rId18" Type="http://schemas.openxmlformats.org/officeDocument/2006/relationships/hyperlink" Target="https://pubmed.ncbi.nlm.nih.gov/38410936/?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