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Beyond p-tau217: When Do Additional Blood Biomarkers Improve Alzheimer’s Disease Decisions?</w:t>
      </w:r>
    </w:p>
    <w:p>
      <w:pPr>
        <w:jc w:val="center"/>
      </w:pPr>
      <w:r>
        <w:rPr>
          <w:b/>
        </w:rPr>
        <w:t>Öykü Nefes Özinanç (student)</w:t>
      </w:r>
    </w:p>
    <w:p>
      <w:pPr>
        <w:jc w:val="center"/>
      </w:pPr>
      <w:r>
        <w:t>School/institution: Eyüboğlu</w:t>
      </w:r>
    </w:p>
    <w:p>
      <w:pPr>
        <w:jc w:val="center"/>
      </w:pPr>
      <w:r>
        <w:t>Corresponding author email: oykunefesoz@gmail.com</w:t>
      </w:r>
    </w:p>
    <w:p>
      <w:pPr>
        <w:jc w:val="center"/>
      </w:pPr>
      <w:r>
        <w:t>Keywords: Alzheimer’s disease; blood-based biomarkers; p-tau217; incremental prediction; clinical utility</w:t>
      </w:r>
    </w:p>
    <w:p>
      <w:pPr>
        <w:pStyle w:val="Heading1"/>
      </w:pPr>
      <w:r>
        <w:t>Abstract</w:t>
      </w:r>
    </w:p>
    <w:p>
      <w:r>
        <w:t>Blood-based biomarkers are increasingly used to identify Alzheimer’s disease (AD)-related pathology, but detecting existing pathology, predicting future cognitive decline, staging disease biology, and improving clinical decisions are different objectives. This critical narrative review examines when adding biomarkers beyond plasma phosphorylated tau 217 (p-tau217) provides decision-relevant information. Targeted searches of indexed literature, publisher records, and clinical guidance were used to identify systematic reviews, longitudinal cohorts, direct model comparisons, and staged-testing studies. The search was not systematic, and a formal risk-of-bias assessment was not performed. A 2025 meta-analysis of 113 studies and 29,625 participants estimated p-tau217 sensitivity at 88.1%, specificity at 88.7%, and area under the receiver operating characteristic curve at 0.911 for biologically defined AD. Across studies, additional markers showed conditional rather than universal value: some improved long-term prediction modestly, selected second-stage strategies helped resolve indeterminate first-line results, and combinations of p-tau217 with eMTBR-tau243 showed promise for biological staging. These findings concern different populations and outcomes and should not be treated as interchangeable. Better discrimination or fewer modeled referrals does not by itself demonstrate better patient outcomes or cost-effectiveness. Additional biomarkers are most defensible when a prespecified comparison improves a meaningful decision beyond a strong baseline and is externally evaluated in the intended population.</w:t>
      </w:r>
    </w:p>
    <w:p>
      <w:pPr>
        <w:pStyle w:val="Heading1"/>
      </w:pPr>
      <w:r>
        <w:t>1. Introduction</w:t>
      </w:r>
    </w:p>
    <w:p>
      <w:r>
        <w:t>Alzheimer’s disease (AD) is a progressive neurodegenerative disorder whose biological changes can precede substantial clinical impairment by years. Blood-based biomarkers offer a more accessible way to assess AD-related biology than cerebrospinal fluid (CSF) testing or amyloid positron emission tomography (PET), and may support diagnostic clarification, trial recruitment, and disease characterization. Yet “early detection” can refer to identifying existing pathology, diagnosing the cause of current symptoms, or predicting future decline. These tasks require different outcomes and performance measures.</w:t>
      </w:r>
    </w:p>
    <w:p>
      <w:r>
        <w:t>Plasma phosphorylated tau 217 (p-tau217) is a strong individual-marker benchmark. A meta-analysis by Therriault et al. (2025) synthesized 113 studies with 29,625 unique participants and reported pooled sensitivity of 88.1%, specificity of 88.7%, and AUROC of 0.911 for biologically defined AD. The same review identified frequent risk of bias related to thresholds that were not predefined or externally derived, limiting the assumption that pooled performance transfers unchanged to routine practice.</w:t>
      </w:r>
    </w:p>
    <w:p>
      <w:r>
        <w:t>Other markers may capture complementary biological processes. The Aβ42/Aβ40 ratio relates to amyloid pathology; glial fibrillary acidic protein (GFAP) reflects astrocytic activation; neurofilament light (NfL) reflects axonal injury and is not specific to AD. However, biological plausibility does not guarantee useful incremental prediction. A marker may be associated with disease yet add little once p-tau217 and clinical variables are included, or may improve a different task such as prognosis or staging.</w:t>
      </w:r>
    </w:p>
    <w:p>
      <w:r>
        <w:t>This review asks: when does adding a blood biomarker beyond a strong p-tau217-based baseline provide reproducible, clinically meaningful information? It distinguishes four targets: classification of existing pathology, prediction of future clinical decline, biological staging, and clinical utility. The intended contribution is a decision-oriented synthesis, not a new biomarker ranking or a validated clinical algorithm.</w:t>
      </w:r>
    </w:p>
    <w:p>
      <w:pPr>
        <w:pStyle w:val="Heading1"/>
      </w:pPr>
      <w:r>
        <w:t>2. Materials and Methods</w:t>
      </w:r>
    </w:p>
    <w:p>
      <w:r>
        <w:t>This study was conducted as a critical narrative review using targeted searches of PubMed/PMC-indexed records, journal and publisher pages, and clinical-guidance sources, updated through 29 October 2026. Search concepts combined Alzheimer disease or dementia with p-tau217, p-tau181, Aβ42/Aβ40, GFAP, or NfL and terms relating to incremental value, multimarker models, diagnosis, cognitive decline, incident dementia, reflex testing, calibration, and clinical utility. Priority was given to systematic reviews, direct comparisons of single-marker and combined models, longitudinal cohorts, assay-validation studies, and clinical guidance.</w:t>
      </w:r>
    </w:p>
    <w:p>
      <w:r>
        <w:t>Sources were considered relevant if they addressed diagnostic performance against a biological reference standard, longitudinal prediction of cognitive decline or incident dementia, direct comparisons of individual and combined models, biomarker measurement variability, or clinical guidance. For selected studies, the synthesis considered population and setting, sample size, assay, target outcome, comparator, performance metric, uncertainty, and validation approach.</w:t>
      </w:r>
    </w:p>
    <w:p>
      <w:r>
        <w:t>The search was targeted rather than systematic: exact platform-specific query histories, screening counts, deduplication records, and exclusion reasons were not logged prospectively. The review was not registered, independent dual screening was not performed, and no formal study-level risk-of-bias assessment was completed. Therefore, the selected evidence is not an exhaustive denominator and relevant studies may have been missed. Selected high-impact claims were cross-checked against indexed records and publisher records or abstracts, but this was not a complete full-text and supplementary-material audit.</w:t>
      </w:r>
    </w:p>
    <w:p>
      <w:r>
        <w:t>Incremental value was interpreted only where an added marker was compared with a defined baseline in the same participants, for the same outcome and validation procedure. Association alone, standalone AUROC, or a statistically significant hazard ratio was not treated as proof of incremental utility. Interpretation distinguished discrimination, calibration, threshold-specific performance, and decision consequences.</w:t>
      </w:r>
    </w:p>
    <w:p>
      <w:pPr>
        <w:pStyle w:val="Heading1"/>
      </w:pPr>
      <w:r>
        <w:t>3. Results: Evidence Synthesis</w:t>
      </w:r>
    </w:p>
    <w:p>
      <w:pPr>
        <w:pStyle w:val="Heading2"/>
      </w:pPr>
      <w:r>
        <w:t>3.1 Diagnostic classification and assay-specific performance</w:t>
      </w:r>
    </w:p>
    <w:p>
      <w:r>
        <w:t>Therriault et al. (2025) reported p-tau217 pooled sensitivity of 88.1% (95% CI 86.7–89.5), specificity of 88.7% (95% CI 87.4–89.9), and AUROC of 0.911 (95% CI 0.889–0.924). A later meta-analysis by Gebril et al. (2026) reported sensitivity of 85.4% and specificity of 88.0%, but the reviews differ in search coverage, eligibility, reference standards, and analytic choices. Their participant totals may overlap and should not be added or treated as independent replications.</w:t>
      </w:r>
    </w:p>
    <w:p>
      <w:r>
        <w:t>The Alzheimer’s Association guideline for people with objective cognitive impairment assessed in specialized memory-care settings recommends blood tests with at least 90% sensitivity and 75% specificity for triage. Tests intended to substitute for CSF or amyloid-PET confirmation should reach at least 90% sensitivity and 90% specificity (Palmqvist et al. 2025). These recommendations are not blanket screening guidance for asymptomatic populations. Assay platforms, sample handling, threshold selection, and patient spectrum can materially affect performance; p-tau217 should not be treated as one interchangeable test.</w:t>
      </w:r>
    </w:p>
    <w:p>
      <w:pPr>
        <w:pStyle w:val="Heading2"/>
      </w:pPr>
      <w:r>
        <w:t>3.2 When combined markers add information</w:t>
      </w:r>
    </w:p>
    <w:p>
      <w:r>
        <w:t>Cullen et al. (2023) studied 399 non-demented participants with cognitive symptoms. For CSF amyloid status, p-tau217 had AUROC 0.82, while a combined model achieved 0.86. Test–retest variability reduced AUC by approximately 1–4 percentage points depending on the marker. This illustrates that combinations may improve performance in a specific cohort and that reliability can affect apparent model accuracy; it does not establish universal benefit.</w:t>
      </w:r>
    </w:p>
    <w:p>
      <w:r>
        <w:t>In cognitively unimpaired A4/LEARN participants, Khorsand et al. (2026) found that adding Aβ42/Aβ40, GFAP, and NfL to models that already included clinical and biomarker predictors produced modest AUC gains of about 1–3 percentage points, with full-model AUCs around 0.78–0.80. This is evidence of limited but potentially useful incremental prediction for five-year clinical decline in trial cohorts, not proof of improved routine diagnosis or patient outcomes.</w:t>
      </w:r>
    </w:p>
    <w:p>
      <w:r>
        <w:t>By contrast, Parankusham et al. (2026) evaluated a two-stage algorithm for people whose p-tau217 result was indeterminate. In an external indeterminate subgroup of 630 participants, the second-stage model improved AUC from 0.719 to 0.793, increased correct classification without PET from 41.4% to 56.2%, and reduced modeled PET referral from 35.9% to 24.3%. Estimated cost reductions were modeled, not observed in a prospective implementation study. The findings support a targeted reflex-testing hypothesis, not general superiority of a panel in all populations.</w:t>
      </w:r>
    </w:p>
    <w:p>
      <w:r>
        <w:t>Weber et al. (2025) reported that a combination of Aβ42/Aβ40, p-tau217, and APOE4 allele count achieved AUC 0.942 in a 215-person intended-use cohort and reduced indeterminate classifications from 15% to 10%. The relatively small development cohort and relevant commercial relationships among some authors reinforce the need for independent validation. Predictive values also depend on prevalence.</w:t>
      </w:r>
    </w:p>
    <w:p>
      <w:pPr>
        <w:pStyle w:val="Heading2"/>
      </w:pPr>
      <w:r>
        <w:t>3.3 Prognosis is not the same as diagnosis</w:t>
      </w:r>
    </w:p>
    <w:p>
      <w:r>
        <w:t>Longitudinal studies show that p-tau217 is associated with future cognitive impairment, but association is not the same as accurate individual risk prediction. Ali et al. (2026) synthesized six reports representing 16 cohorts; 13 cohort estimates included 6,856 participants and 1,939 events. A 1-SD higher p-tau217 was associated with incident cognitive impairment (pooled HR 1.64, 95% CI 1.40–1.91), but heterogeneity was high (I² = 88.9%) and the prediction interval was wide (1.02–2.63). This result should not be treated as an individual risk calculator or as proof of AD-specific progression.</w:t>
      </w:r>
    </w:p>
    <w:p>
      <w:r>
        <w:t>In the Whitehall II cohort, Sabia et al. (2026) followed 5,225 participants for a median of 12.2 years; 516 developed dementia. Adding four blood biomarkers to a model of sociodemographic, behavioral, and health-related risk factors increased the C-index from 0.765 to 0.813. However, sensitivity across biomarker approaches was 41.7%–59.5% and positive predictive value was 16.4%–23.5%. Improved ranking therefore coexisted with limited individual-level classification. Prognostic studies should report calibration, time horizon, threshold-specific performance, competing risks where relevant, and external validation.</w:t>
      </w:r>
    </w:p>
    <w:p>
      <w:pPr>
        <w:pStyle w:val="Heading2"/>
      </w:pPr>
      <w:r>
        <w:t>3.4 Biological staging and differential diagnosis</w:t>
      </w:r>
    </w:p>
    <w:p>
      <w:r>
        <w:t>Mattsson-Carlgren et al. (2026) studied sequential %p-tau217 and eMTBR-tau243 testing in 572 symptomatic participants. Among 350 %p-tau217-positive participants, 194 were also eMTBR-tau243-positive; the double-positive group had positive predictive value of 84% and accuracy of 81% for established symptomatic AD. Salvadó et al. (2026) combined these markers for biological staging and reported C-index 0.91 for agreement with PET-based stages in BioFINDER-2 and a Knight ADRC validation cohort. These studies suggest that a second marker may help characterize tau burden or symptomatic disease after amyloid-related pathology is identified. Their cohorts and research programs overlap, however, and participant-level independence should not be assumed without checking the original supplements.</w:t>
      </w:r>
    </w:p>
    <w:p>
      <w:r>
        <w:t>Di Molfetta et al. (2026) reported that a seven-protein panel identified advanced tau-PET burden with AUCs of 0.92–0.94, compared with 0.86–0.88 for p-tau217 in amyloid-positive participants. The publisher issued a correction affecting the Results, a table, and figure labels/legends; the corrected article should control any final quantitative claim. Separately, Chai et al. (2026) found that p-tau217 specificity varied by non-AD comparator, including lower specificity for dementia with Lewy bodies than for behavioral-variant frontotemporal dementia. Strong overall discrimination does not resolve every differential diagnosis or mixed-pathology case.</w:t>
      </w:r>
    </w:p>
    <w:p>
      <w:pPr>
        <w:pStyle w:val="Heading1"/>
      </w:pPr>
      <w:r>
        <w:t>4. Discussion</w:t>
      </w:r>
    </w:p>
    <w:p>
      <w:r>
        <w:t>The evidence supports conditional rather than universal value from adding biomarkers. Additional markers may produce small gains when a strong prognostic baseline is already available, improve classification in a selected indeterminate subgroup, or provide information about biological stage that is not the same as detecting amyloid pathology. These results cannot be collapsed into one ranking because populations, assays, outcomes, baseline models, and decision states differ.</w:t>
      </w:r>
    </w:p>
    <w:p>
      <w:r>
        <w:t>Four requirements should guide claims of incremental value. First, define the intended decision and target population before choosing a model. Second, compare against a fair, prespecified baseline in the same participants and for the same outcome. Third, report uncertainty, calibration, threshold-specific sensitivity and specificity, predictive values at relevant prevalence, and the rate of indeterminate results. Fourth, externally validate the complete pathway and evaluate whether it changes decisions or patient-relevant outcomes. A change in AUROC alone is insufficient to establish clinical utility.</w:t>
      </w:r>
    </w:p>
    <w:p>
      <w:r>
        <w:t>Biological complementarity does not guarantee statistical complementarity. Markers may be correlated with one another or with age, renal function, disease stage, and other determinants. Assay platform, sample handling, cut-point selection, missing data, and cohort selection can change apparent performance. In particular, research cohorts and trial-enrichment samples may not represent routine memory-clinic populations. Claims about cost savings should be labelled as modeled unless observed in prospective implementation.</w:t>
      </w:r>
    </w:p>
    <w:p>
      <w:r>
        <w:t>A practical research design would prespecify a baseline model, add each candidate biomarker separately, test any planned combination, and evaluate all models with the same resampling and external-validation procedures. It would report changes in discrimination with confidence intervals, calibration, decision-curve or net-benefit analysis where appropriate, indeterminate-result rates, and the consequences of false positives and false negatives. If a staged pathway is proposed, the study should evaluate the entire pathway, including who proceeds to confirmatory testing and what happens after an uncertain result.</w:t>
      </w:r>
    </w:p>
    <w:p>
      <w:r>
        <w:t>The current evidence would change materially if prospective, independently validated studies demonstrated that biomarker-guided pathways improve patient-relevant outcomes, reduce unnecessary confirmatory procedures without unacceptable missed diagnoses, or offer reproducible cost-effectiveness across intended-use populations. Until then, the strongest conclusion is that added markers should be selected to answer a specific remaining question—not included merely because they measure another biological process.</w:t>
      </w:r>
    </w:p>
    <w:p>
      <w:r>
        <w:t>Interpretation also depends on the intended role of the test. A triage test prioritizes sensitivity and a safe route for people with negative or uncertain results; a confirmatory test requires stronger specificity and careful consideration of false-positive consequences. A staging test may be useful even when it does not improve amyloid classification, because its purpose is to characterize disease burden after pathology has already been identified. Studies should state which role is intended before performance is assessed, and should not transfer a threshold or metric from one role to another without validation.</w:t>
      </w:r>
    </w:p>
    <w:p>
      <w:r>
        <w:t>Prevalence and spectrum are central to translation. Positive and negative predictive values change with the frequency of disease in the tested population, even when sensitivity and specificity remain stable. A threshold evaluated in a research cohort enriched for biomarker-positive participants may therefore produce different clinical consequences in a community or primary-care population. Similarly, a case–control study contrasting clearly defined AD cases with healthy controls may overestimate performance in a memory clinic where patients have mixed pathology, comorbidities, and less clear symptoms. External validation should represent the setting in which the test will be used.</w:t>
      </w:r>
    </w:p>
    <w:p>
      <w:r>
        <w:t>Uncertainty near a cut-point should be reported as part of performance rather than hidden by a binary classification. Two-threshold strategies can identify low, intermediate, and high likelihood categories, but they shift the question to what should happen to people in the intermediate range. The proportion with indeterminate results, follow-up testing, delays, and potential missed diagnoses are all relevant. A second-stage biomarker is useful only if it changes the pathway in a reliable way and the resulting trade-offs are acceptable to patients and clinicians.</w:t>
      </w:r>
    </w:p>
    <w:p>
      <w:r>
        <w:t>Finally, the quality of the evidence base depends on transparent source tracing. Multiple publications may reuse participants from ADNI, A4/LEARN, BioFINDER-2, or related cohorts. Different analyses from the same research programme can be valuable because they address distinct questions, but they should not automatically be counted as independent replication. Reviews should identify cohort families where possible, check supplements for participant overlap, and avoid summing sample sizes across overlapping studies. Where participant-level crosswalks are unavailable, the uncertainty should be stated rather than resolved by assumption.</w:t>
      </w:r>
    </w:p>
    <w:p>
      <w:r>
        <w:t>Biomarker panels also need to be compared with realistic clinical baselines. If a model already includes age, cognitive status, comorbidities, and a high-performing biomarker, an added marker may contribute less than it does to a biomarker-only baseline. Studies should therefore report the baseline variables and the exact sequence in which candidate markers were added. A comparison between a single biomarker in one paper and a multi-marker panel in a different cohort is not a fair test of incremental value because population, reference standard, and validation differ.</w:t>
      </w:r>
    </w:p>
    <w:p>
      <w:r>
        <w:t>Clinical utility requires more than a statistically significant change. A small discrimination gain might be useful if it moves enough patients across a justified decision threshold to reduce unnecessary confirmatory tests without increasing missed disease. Conversely, a larger AUROC gain may have little practical effect if it does not change decisions or if the extra test is expensive, difficult to access, or unreliable near the threshold. Decision-curve analysis and prospective implementation studies can help evaluate whether model-guided care offers net benefit compared with current practice, but these analyses depend on transparent assumptions and clinically defensible thresholds.</w:t>
      </w:r>
    </w:p>
    <w:p>
      <w:r>
        <w:t>Equity and generalizability also deserve explicit evaluation. Biomarker distributions and test performance may vary across age groups, renal function, comorbidity profiles, demographic groups, and clinical settings. A model that performs well on average can be poorly calibrated for a subgroup. External validation should therefore report performance across relevant subgroups and assess whether thresholds remain appropriate. The aim is not simply to maximize aggregate accuracy, but to provide reliable information for the people who will actually be tested.</w:t>
      </w:r>
    </w:p>
    <w:p>
      <w:pPr>
        <w:pStyle w:val="Heading1"/>
      </w:pPr>
      <w:r>
        <w:t>5. Limitations</w:t>
      </w:r>
    </w:p>
    <w:p>
      <w:r>
        <w:t>This review used targeted searches rather than a systematic search protocol, did not prospectively log all queries or exclusions, and did not use independent dual screening or formal risk-of-bias assessment. It is therefore possible that relevant studies were missed. The selected high-impact numerical claims were checked against indexed or publisher records, but every reference, supplement, correction, and numerical value was not independently recalculated. Several publications use related research cohorts; exact participant-level overlap is unresolved where source-level crosswalks were unavailable. The proposed decision framework is conceptual and has not been validated as a scoring instrument or clinical tool.</w:t>
      </w:r>
    </w:p>
    <w:p>
      <w:pPr>
        <w:pStyle w:val="Heading1"/>
      </w:pPr>
      <w:r>
        <w:t>6. Conclusion</w:t>
      </w:r>
    </w:p>
    <w:p>
      <w:r>
        <w:t>Plasma p-tau217 is a strong benchmark for identifying AD-related pathology, but additional blood biomarkers are not universally beneficial. Their most defensible roles are task-specific: modestly improving a defined prognostic model, resolving uncertainty after an indeterminate first-line result, or characterizing biological stage after pathology has been identified. Future studies should use prespecified fair comparisons, assay-specific thresholds, external validation, transparent uncertainty and calibration reporting, and prospective evaluation of downstream decisions. More biomarkers should be adopted only when they add reproducible information that matters for the decision at hand.</w:t>
      </w:r>
    </w:p>
    <w:p>
      <w:pPr>
        <w:pStyle w:val="Heading1"/>
      </w:pPr>
      <w:r>
        <w:t>Acknowledgments</w:t>
      </w:r>
    </w:p>
    <w:p>
      <w:r>
        <w:t>No external funding or mentor contribution is declared in this draft. Generative AI tools were used to assist with editing, organization, and formatting. The author remains responsible for verifying the literature, numerical claims, references, and final submitted text. Revise this disclosure to accurately reflect the assistance received and the journal’s policy.</w:t>
      </w:r>
    </w:p>
    <w:p>
      <w:pPr>
        <w:pStyle w:val="Heading1"/>
      </w:pPr>
      <w:r>
        <w:t>References</w:t>
      </w:r>
    </w:p>
    <w:p>
      <w:r>
        <w:t>References are presented in Chicago author-date style as carried over from the working bibliography. Verify each entry against the final publisher record and ensure that every cited source appears below and every listed reference is cited in the text.</w:t>
      </w:r>
    </w:p>
    <w:p>
      <w:pPr>
        <w:spacing w:line="240" w:lineRule="auto" w:after="100"/>
        <w:ind w:left="360" w:hanging="360"/>
      </w:pPr>
      <w:r>
        <w:rPr>
          <w:rFonts w:ascii="Times New Roman" w:hAnsi="Times New Roman"/>
          <w:sz w:val="18"/>
        </w:rPr>
        <w:t>Ahn, J., J. Yun, M. W. Weiner, et al. 2026. “Longitudinal Plasma p-tau217 as a Marker for Tracking Progression and Predicting Cognitive Decline in Alzheimer’s Disease.” Alzheimer’s Research &amp; Therapy 18: 170. https://doi.org/10.1186/s13195-026-02077-6.</w:t>
      </w:r>
    </w:p>
    <w:p>
      <w:pPr>
        <w:spacing w:line="240" w:lineRule="auto" w:after="100"/>
        <w:ind w:left="360" w:hanging="360"/>
      </w:pPr>
      <w:r>
        <w:rPr>
          <w:rFonts w:ascii="Times New Roman" w:hAnsi="Times New Roman"/>
          <w:sz w:val="18"/>
        </w:rPr>
        <w:t>Ali, Aasim, Sara Jamil, Aswad Mustafa, Zainab Nabeel, Salman Riaz, Muhammad Ahmad Shahid, Muhammad Abdullah Ali, Muhammad Abdullah, Taha Mehmood, and Armaghana Abdullah. 2026. “Prognostic Value of Baseline Plasma p-tau217 for Incident Cognitive Impairment in Cognitively Unimpaired Cohorts: A Systematic Review and Meta-analysis.” Journal of Alzheimer’s Disease Reports 10: 25424823261487920. https://doi.org/10.1177/25424823261487920.</w:t>
      </w:r>
    </w:p>
    <w:p>
      <w:pPr>
        <w:spacing w:line="240" w:lineRule="auto" w:after="100"/>
        <w:ind w:left="360" w:hanging="360"/>
      </w:pPr>
      <w:r>
        <w:rPr>
          <w:rFonts w:ascii="Times New Roman" w:hAnsi="Times New Roman"/>
          <w:sz w:val="18"/>
        </w:rPr>
        <w:t>Beament, Millie, Katharine Wiltshire, Christopher R. S. Belder, Emily Abel, Melanie Hart, Amanda J. Heslegrave, Michael P. Lunn, Miguel Rosa-Grilo, Owen Swann, Jonathan M. Schott, Henrik Zetterberg, Nick C. Fox, and Ashvini Keshavan. 2026. “Short-Interval Variability and Test–Retest Reliability of Alzheimer’s Disease Plasma Biomarkers in a Clinically Heterogenous Cohort.” Alzheimer’s Research &amp; Therapy 18: 238. https://doi.org/10.1186/s13195-026-02180-8.</w:t>
      </w:r>
    </w:p>
    <w:p>
      <w:pPr>
        <w:spacing w:line="240" w:lineRule="auto" w:after="100"/>
        <w:ind w:left="360" w:hanging="360"/>
      </w:pPr>
      <w:r>
        <w:rPr>
          <w:rFonts w:ascii="Times New Roman" w:hAnsi="Times New Roman"/>
          <w:sz w:val="18"/>
        </w:rPr>
        <w:t>Buckley, Rachel F., Diana L. Townsend, Colin J. Birkenbihl, et al. 2026. “Prognostic Value of Blood-Based P-Tau217 Levels for Progression to Cognitive Impairment.” JAMA 336 (11): 950–959. https://doi.org/10.1001/jama.2026.12556.</w:t>
      </w:r>
    </w:p>
    <w:p>
      <w:pPr>
        <w:spacing w:line="240" w:lineRule="auto" w:after="100"/>
        <w:ind w:left="360" w:hanging="360"/>
      </w:pPr>
      <w:r>
        <w:rPr>
          <w:rFonts w:ascii="Times New Roman" w:hAnsi="Times New Roman"/>
          <w:sz w:val="18"/>
        </w:rPr>
        <w:t>Chai, Linsong, Ying Zhan, Yunshi Huang, Meifang Tian, Guangning Zhao, Jinglei Ni, Xiao Xiong, Jia Huang, and Bingbing Lin. 2026. “Plasma p-tau as a Biomarker for the Differential Diagnosis of Alzheimer’s Disease: A Systematic Review and Meta-analysis.” Alzheimer’s Research &amp; Therapy 18: 186. https://doi.org/10.1186/s13195-026-02104-6.</w:t>
      </w:r>
    </w:p>
    <w:p>
      <w:pPr>
        <w:spacing w:line="240" w:lineRule="auto" w:after="100"/>
        <w:ind w:left="360" w:hanging="360"/>
      </w:pPr>
      <w:r>
        <w:rPr>
          <w:rFonts w:ascii="Times New Roman" w:hAnsi="Times New Roman"/>
          <w:sz w:val="18"/>
        </w:rPr>
        <w:t>Collins, Gary S., Karel G. M. Moons, Paula Dhiman, Richard D. Riley, Andrew L. Beam, Ben Van Calster, Marzyeh Ghassemi, Xiaoxuan Liu, Johannes B. Reitsma, Maarten van Smeden, Anne-Laure Boulesteix, Jennifer Catherine Camaradou, Leo Anthony Celi, Spiros Denaxas, Alastair K. Denniston, André Pascal Kengne, Emily Lam, Naomi Lee, Elizabeth Loder, Laure Maier-Hein, Bilal A. Mateen, Lauren Oakden-Rayner, Johan Ordish, Sherri Rose, Karandeep Singh, Laure Wynants, and Patricia Logullo. 2024. “TRIPOD+AI Statement: Updated Guidance for Reporting Clinical Prediction Models That Use Regression or Machine Learning Methods.” BMJ 385: e078378. https://doi.org/10.1136/bmj-2023-078378.</w:t>
      </w:r>
    </w:p>
    <w:p>
      <w:pPr>
        <w:spacing w:line="240" w:lineRule="auto" w:after="100"/>
        <w:ind w:left="360" w:hanging="360"/>
      </w:pPr>
      <w:r>
        <w:rPr>
          <w:rFonts w:ascii="Times New Roman" w:hAnsi="Times New Roman"/>
          <w:sz w:val="18"/>
        </w:rPr>
        <w:t>“Correction to Lancet Neurology 2026; 25: 357–367.” 2026. The Lancet Neurology 25 (7): e12. https://doi.org/10.1016/S1474-4422(26)00207-3. The publisher states that the article appendix was corrected on 17 June 2026.</w:t>
      </w:r>
    </w:p>
    <w:p>
      <w:pPr>
        <w:spacing w:line="240" w:lineRule="auto" w:after="100"/>
        <w:ind w:left="360" w:hanging="360"/>
      </w:pPr>
      <w:r>
        <w:rPr>
          <w:rFonts w:ascii="Times New Roman" w:hAnsi="Times New Roman"/>
          <w:sz w:val="18"/>
        </w:rPr>
        <w:t>Cullen, Nicholas C., Shorena Janelidze, Niklas Mattsson-Carlgren, Sebastian Palmqvist, Tobias Bittner, Ivonne Suridjan, Alexander Jethwa, Gwendlyn Kollmorgen, Wagner S. Brum, Henrik Zetterberg, Kaj Blennow, Erik Stomrud, and Oskar Hansson. 2023. “Test–Retest Variability of Plasma Biomarkers in Alzheimer’s Disease and Its Effects on Clinical Prediction Models.” Alzheimer’s &amp; Dementia 19 (3): 797–806. https://doi.org/10.1002/alz.12706.</w:t>
      </w:r>
    </w:p>
    <w:p>
      <w:pPr>
        <w:spacing w:line="240" w:lineRule="auto" w:after="100"/>
        <w:ind w:left="360" w:hanging="360"/>
      </w:pPr>
      <w:r>
        <w:rPr>
          <w:rFonts w:ascii="Times New Roman" w:hAnsi="Times New Roman"/>
          <w:sz w:val="18"/>
        </w:rPr>
        <w:t>Di Molfetta, Guglielmo, Wagner S. Brum, Ilaria Pola, Kübra Tan, Andrea L. Benedet, Mathias Sauer, Laia Montoliu-Gaya, Shorena Janelidze, Niklas Mattsson-Carlgren, Nesrine Rahmouni, Tevy Chan, Marisa N. Denkinger, Petroula Proitsi, Henrik Zetterberg, Oskar Hansson, Pedro Rosa-Neto, and Nicholas J. Ashton. 2026. “Plasma Biomarkers for Neocortical Tau Burden.” JAMA Neurology 83 (10): 990–1001. https://doi.org/10.1001/jamaneurol.2026.2650. Corrected online October 2026; consult the corrected article and figures.</w:t>
      </w:r>
    </w:p>
    <w:p>
      <w:pPr>
        <w:spacing w:line="240" w:lineRule="auto" w:after="100"/>
        <w:ind w:left="360" w:hanging="360"/>
      </w:pPr>
      <w:r>
        <w:rPr>
          <w:rFonts w:ascii="Times New Roman" w:hAnsi="Times New Roman"/>
          <w:sz w:val="18"/>
        </w:rPr>
        <w:t>Efe, Jaiyeoba-Ojigho Jennifer, Ese Anibor, Priyanka Pandey, Oladipo Gabriel Sunday, David Chinaecherem Innocent, Precious Ebube Anyakorah, and Okolie Ikechukwu Emmanuel. 2026. “Blood-Based Biomarkers for Early Diagnosis of Alzheimer’s Disease: A Current Systematic Review of Diagnostic Accuracy Studies.” BMC Neurology 26: 502. https://doi.org/10.1186/s12883-026-05046-6.</w:t>
      </w:r>
    </w:p>
    <w:p>
      <w:pPr>
        <w:spacing w:line="240" w:lineRule="auto" w:after="100"/>
        <w:ind w:left="360" w:hanging="360"/>
      </w:pPr>
      <w:r>
        <w:rPr>
          <w:rFonts w:ascii="Times New Roman" w:hAnsi="Times New Roman"/>
          <w:sz w:val="18"/>
        </w:rPr>
        <w:t>“Errors in Results, Figure 3, Figure 4, and the Table.” 2026. JAMA Neurology 83 (10): 1030. https://doi.org/10.1001/jamaneurol.2026.3720. The publisher states that the online article was corrected for typographical errors in the Results and table and for figure labels and legends.</w:t>
      </w:r>
    </w:p>
    <w:p>
      <w:pPr>
        <w:spacing w:line="240" w:lineRule="auto" w:after="100"/>
        <w:ind w:left="360" w:hanging="360"/>
      </w:pPr>
      <w:r>
        <w:rPr>
          <w:rFonts w:ascii="Times New Roman" w:hAnsi="Times New Roman"/>
          <w:sz w:val="18"/>
        </w:rPr>
        <w:t>Fu, Wenting, and Paul Chi-Lui Ho. 2026. “Blood-Based Biomarkers for Alzheimer’s Disease: Advances in Early Detection and Monitoring of Age-Related Neurodegeneration.” Ageing Research Reviews 117: 103058. https://doi.org/10.1016/j.arr.2026.103058.</w:t>
      </w:r>
    </w:p>
    <w:p>
      <w:pPr>
        <w:spacing w:line="240" w:lineRule="auto" w:after="100"/>
        <w:ind w:left="360" w:hanging="360"/>
      </w:pPr>
      <w:r>
        <w:rPr>
          <w:rFonts w:ascii="Times New Roman" w:hAnsi="Times New Roman"/>
          <w:sz w:val="18"/>
        </w:rPr>
        <w:t>Gaetani, Lorenzo, Luisa Agnello, Andrea Pilotto, Alberto Benussi, Annachiara Cagnin, Lucilla Parnetti, Marco Bozzali, Alessandro Padovani, Marcello Ciaccio, and colleagues. 2026. “Blood-Based Biomarkers for Alzheimer’s Disease Diagnosis: A Joint Position Paper from the Italian Societies of Neurology (SIN) and of Clinical Biochemistry and Clinical Molecular Biology–Laboratory Medicine (SIBioC) and from the Autonomous Association Affiliated with SIN for Dementia (SINdem).” Neurological Sciences 47 (4): 355. https://doi.org/10.1007/s10072-026-08931-7.</w:t>
      </w:r>
    </w:p>
    <w:p>
      <w:pPr>
        <w:spacing w:line="240" w:lineRule="auto" w:after="100"/>
        <w:ind w:left="360" w:hanging="360"/>
      </w:pPr>
      <w:r>
        <w:rPr>
          <w:rFonts w:ascii="Times New Roman" w:hAnsi="Times New Roman"/>
          <w:sz w:val="18"/>
        </w:rPr>
        <w:t>Gebril, Nesma M., Abdelrahman M. Elettreby, Abeer H. Younis, Mostafa Hossam El Din Moawad, Afaf M. Hafez, Gamal El Sayed, Kariman M. Abdelrahman, and Sarah M. El-Kot. 2026. “From Cerebrospinal Fluid to Blood Draw: Plasma p-Tau217 as a Non-Invasive Biomarker for Alzheimer’s Disease: A Fagan Nomogram-Based Meta-Analytic Study.” Molecular Neurobiology 63 (1): 606. https://doi.org/10.1007/s12035-026-05864-2.</w:t>
      </w:r>
    </w:p>
    <w:p>
      <w:pPr>
        <w:spacing w:line="240" w:lineRule="auto" w:after="100"/>
        <w:ind w:left="360" w:hanging="360"/>
      </w:pPr>
      <w:r>
        <w:rPr>
          <w:rFonts w:ascii="Times New Roman" w:hAnsi="Times New Roman"/>
          <w:sz w:val="18"/>
        </w:rPr>
        <w:t>Giacomucci, Giulia, Silvia Maria Rita Tabbì, Assunta Ingannato, Silvia Bagnoli, Sonia Padiglioni, Chiara Crucitti, Chiara Sensi, Serena Sanesi, Valentina Moschini, Carmen Morinelli, Giulia Galdo, Valentina Berti, Benedetta Nacmias, and Valentina Bessi. 2026. “Refining Alzheimer’s Disease Biological Diagnosis with Plasma Biomarkers: Resolving p-tau217 ‘Gray Zone’ with p-tau181 Integration.” Alzheimer’s &amp; Dementia: Diagnosis, Assessment &amp; Disease Monitoring 18 (1): e70285. https://doi.org/10.1002/dad2.70285.</w:t>
      </w:r>
    </w:p>
    <w:p>
      <w:pPr>
        <w:spacing w:line="240" w:lineRule="auto" w:after="100"/>
        <w:ind w:left="360" w:hanging="360"/>
      </w:pPr>
      <w:r>
        <w:rPr>
          <w:rFonts w:ascii="Times New Roman" w:hAnsi="Times New Roman"/>
          <w:sz w:val="18"/>
        </w:rPr>
        <w:t>Grande, Giulia, Martina Valletta, Debora Rizzuto, Xin Xia, Chengxuan Qiu, Nicola Orsini, Matilda Dale, Sarah Andersson, Claudia Fredolini, Bengt Winblad, Erika J. Laukka, Laura Fratiglioni, and Davide L. Vetrano. 2025. “Blood-Based Biomarkers of Alzheimer’s Disease and Incident Dementia in the Community.” Nature Medicine 31 (6): 2027–2035. https://doi.org/10.1038/s41591-025-03605-x.</w:t>
      </w:r>
    </w:p>
    <w:p>
      <w:pPr>
        <w:spacing w:line="240" w:lineRule="auto" w:after="100"/>
        <w:ind w:left="360" w:hanging="360"/>
      </w:pPr>
      <w:r>
        <w:rPr>
          <w:rFonts w:ascii="Times New Roman" w:hAnsi="Times New Roman"/>
          <w:sz w:val="18"/>
        </w:rPr>
        <w:t>Habash-Bailey, Haniah, Robert Barber, Nicholas Bass, Matthew J. Harris, Jemma Hazan, Ashvini Keshavan, Michael P. T. Lunn, Simon Mead, Catherine Pennington, Duncan Street, Ben R. Underwood, Jonathan M. Schott, and Charles R. Marshall. 2026. “Blood Biomarkers for Alzheimer’s Disease: Guidance on Appropriate Testing from the Association of British Neurologists and Royal College of Psychiatrists.” Practical Neurology. Published online 22 October 2026. https://doi.org/10.1136/pn-2026-005461.</w:t>
      </w:r>
    </w:p>
    <w:p>
      <w:pPr>
        <w:spacing w:line="240" w:lineRule="auto" w:after="100"/>
        <w:ind w:left="360" w:hanging="360"/>
      </w:pPr>
      <w:r>
        <w:rPr>
          <w:rFonts w:ascii="Times New Roman" w:hAnsi="Times New Roman"/>
          <w:sz w:val="18"/>
        </w:rPr>
        <w:t>Hazan, Jemma, Simone Salemme, Kathy Y. Liu, and Robert Howard. 2026. “Blood-Based Biomarkers for Alzheimer Disease in Primary Care: The Gap Between Biology and Clinical Utility.” Neurology 107 (5): e218403. https://doi.org/10.1212/WNL.0000000000218403.</w:t>
      </w:r>
    </w:p>
    <w:p>
      <w:pPr>
        <w:spacing w:line="240" w:lineRule="auto" w:after="100"/>
        <w:ind w:left="360" w:hanging="360"/>
      </w:pPr>
      <w:r>
        <w:rPr>
          <w:rFonts w:ascii="Times New Roman" w:hAnsi="Times New Roman"/>
          <w:sz w:val="18"/>
        </w:rPr>
        <w:t>Ho, Bo-Lin, and Yuan-Han Yang. 2026. “Blood-Based Biomarkers in the Anti-Amyloid Era of Alzheimer’s Disease: Clinical Utility, Implementation Challenges, and Future Directions.” Neurodegenerative Disease Management. Published online 26 September 2026. https://doi.org/10.1080/17582024.2026.2734618.</w:t>
      </w:r>
    </w:p>
    <w:p>
      <w:pPr>
        <w:spacing w:line="240" w:lineRule="auto" w:after="100"/>
        <w:ind w:left="360" w:hanging="360"/>
      </w:pPr>
      <w:r>
        <w:rPr>
          <w:rFonts w:ascii="Times New Roman" w:hAnsi="Times New Roman"/>
          <w:sz w:val="18"/>
        </w:rPr>
        <w:t>Janelidze, Shorena, Sebastian Palmqvist, Antoine Leuzy, Erik Stomrud, Inge M. W. Verberk, Henrik Zetterberg, Nicholas J. Ashton, Pedro Pesini, Leticia Sarasa, José Antonio Allué, Charlotte E. Teunissen, Jeffrey L. Dage, Kaj Blennow, Niklas Mattsson-Carlgren, and Oskar Hansson. 2022. “Detecting Amyloid Positivity in Early Alzheimer’s Disease Using Combinations of Plasma Aβ42/Aβ40 and p-tau.” Alzheimer’s &amp; Dementia 18 (2): 283–293. https://doi.org/10.1002/alz.12395.</w:t>
      </w:r>
    </w:p>
    <w:p>
      <w:pPr>
        <w:spacing w:line="240" w:lineRule="auto" w:after="100"/>
        <w:ind w:left="360" w:hanging="360"/>
      </w:pPr>
      <w:r>
        <w:rPr>
          <w:rFonts w:ascii="Times New Roman" w:hAnsi="Times New Roman"/>
          <w:sz w:val="18"/>
        </w:rPr>
        <w:t>Keshavan, Ashvini, Katharine Wiltshire, Ryan Wee, Irene Gorostiaga Belio, Katie Tucker, Melanie Hart, Michael P. Lunn, Michael C. B. David, Laura Rizzo, Omid Sadeghi-Alavijeh, Patricia Wilson, Daniel P. Gale, Amanda J. Heslegrave, Henrik Zetterberg, Nick C. Fox, Paresh Malhotra, and Jonathan M. Schott. 2026. “The Alzheimer’s Disease Diagnosis and Plasma Phospho-Tau217 (ADAPT) Study Stage 1: Validating Clinical Cut-Points against CSF and Amyloid PET.” Alzheimer’s &amp; Dementia 22 (2): e71147. https://doi.org/10.1002/alz.71147.</w:t>
      </w:r>
    </w:p>
    <w:p>
      <w:pPr>
        <w:spacing w:line="240" w:lineRule="auto" w:after="100"/>
        <w:ind w:left="360" w:hanging="360"/>
      </w:pPr>
      <w:r>
        <w:rPr>
          <w:rFonts w:ascii="Times New Roman" w:hAnsi="Times New Roman"/>
          <w:sz w:val="18"/>
        </w:rPr>
        <w:t>Khorsand, Babak, Elham Ghanbarian, Laura A. Rabin, Seyed Ahmad Sajjadi, and Ali Ezzati. 2026. “Incremental Value of Plasma Biomarkers in Predicting Clinical Decline among Cognitively Unimpaired Older Adults: Results from the A4 Trial.” Alzheimer’s &amp; Dementia: Diagnosis, Assessment &amp; Disease Monitoring 18 (2): e70321. https://doi.org/10.1002/dad2.70321.</w:t>
      </w:r>
    </w:p>
    <w:p>
      <w:pPr>
        <w:spacing w:line="240" w:lineRule="auto" w:after="100"/>
        <w:ind w:left="360" w:hanging="360"/>
      </w:pPr>
      <w:r>
        <w:rPr>
          <w:rFonts w:ascii="Times New Roman" w:hAnsi="Times New Roman"/>
          <w:sz w:val="18"/>
        </w:rPr>
        <w:t>Lan, Guoyu, Wang Liao, Mingxing Jiang, Jiayi Zhu, Wenqing Ran, Fernando Gonzalez-Ortiz, Xiang Fan, Hongjie Yang, Dai Shi, Laihong Zhang, Anqi Li, Yue Cai, Pan Sun, Zhengbo He, Xin Zhou, Jie Yang, Yalin Zhu, Mingxu Li, Wenjing Huang, Binhui Liu, Yiying Wang, Xinyue Ma, Rong Ma, Yimei Zhang, Chao Huang, Zhen Liu, Qingyong Wang, Liemin Zhou, Fang Xie, Ying Han, Zhen Liang, Xuhui Chen, Mengjie Dong, Guanxun Cheng, Lu Wang, Benyan Luo, Yan-Jiang Wang, Xiaochun Chen, Jiawei Xin, Guoping Peng, and Tengfei Guo. 2026. “Longitudinal Plasma Phosphorylated Tau217 Classification and the Association with Alzheimer’s Disease Progression.” Alzheimer’s &amp; Dementia 22 (9): e71783. https://doi.org/10.1002/alz.71783.</w:t>
      </w:r>
    </w:p>
    <w:p>
      <w:pPr>
        <w:spacing w:line="240" w:lineRule="auto" w:after="100"/>
        <w:ind w:left="360" w:hanging="360"/>
      </w:pPr>
      <w:r>
        <w:rPr>
          <w:rFonts w:ascii="Times New Roman" w:hAnsi="Times New Roman"/>
          <w:sz w:val="18"/>
        </w:rPr>
        <w:t>Mattsson-Carlgren, Niklas, Sebastian Palmqvist, Kanta Horie, Nicolas Barthélemy, Gemma Salvadó, Alexa Pichet Binette, Pontus Tideman, John C. Morris, Tammie L. S. Benzinger, Richard J. Perrin, Shorena Janelidze, Lyduine E. Collij, Rik Ossenkoppele, Suzanne E. Schindler, Erik Stomrud, Randall J. Bateman, and Oskar Hansson. 2026. “Integration of Plasma eMTBR-tau243 and p-tau217 in the Diagnosis and Stratification of Alzheimer’s Disease: A Prospective Cohort Study.” The Lancet Neurology 25 (4): 357–367. https://doi.org/10.1016/S1474-4422(26)00029-3.</w:t>
      </w:r>
    </w:p>
    <w:p>
      <w:pPr>
        <w:spacing w:line="240" w:lineRule="auto" w:after="100"/>
        <w:ind w:left="360" w:hanging="360"/>
      </w:pPr>
      <w:r>
        <w:rPr>
          <w:rFonts w:ascii="Times New Roman" w:hAnsi="Times New Roman"/>
          <w:sz w:val="18"/>
        </w:rPr>
        <w:t>Palmqvist, Sebastian, Heather E. Whitson, Laura A. Allen, and colleagues. 2025. “Alzheimer’s Association Clinical Practice Guideline on the Use of Blood-Based Biomarkers in the Diagnostic Workup of Suspected Alzheimer’s Disease within Specialized Care Settings.” Alzheimer’s &amp; Dementia 21 (7): e70535. https://doi.org/10.1002/alz.70535.</w:t>
      </w:r>
    </w:p>
    <w:p>
      <w:pPr>
        <w:spacing w:line="240" w:lineRule="auto" w:after="100"/>
        <w:ind w:left="360" w:hanging="360"/>
      </w:pPr>
      <w:r>
        <w:rPr>
          <w:rFonts w:ascii="Times New Roman" w:hAnsi="Times New Roman"/>
          <w:sz w:val="18"/>
        </w:rPr>
        <w:t>Parankusham, Harthik, Casey Vanderlip, Colin Birkenbihl, Eashwar Krishna, Chizobam Ugboaja, Andrew E. Budson, Brandon Frank, and the Alzheimer’s Disease Neuroimaging Initiative. 2026. “A Two-Stage Plasma Biomarker Algorithm Reduces Amyloid PET Use and the p-Tau217 Gray Zone.” Annals of Clinical and Translational Neurology. Published online 19 October 2026. https://doi.org/10.1002/acn3.70560.</w:t>
      </w:r>
    </w:p>
    <w:p>
      <w:pPr>
        <w:spacing w:line="240" w:lineRule="auto" w:after="100"/>
        <w:ind w:left="360" w:hanging="360"/>
      </w:pPr>
      <w:r>
        <w:rPr>
          <w:rFonts w:ascii="Times New Roman" w:hAnsi="Times New Roman"/>
          <w:sz w:val="18"/>
        </w:rPr>
        <w:t>Sabia, Séverine, Julien Dumurgier, Clémence Cavaillès, Ian Meneghel Danilevicz, Aurore Fayosse, Amanda J. Heslegrave, Henrik Zetterberg, Mika Kivimaki, and Archana Singh-Manoux. 2026. “Blood-Based Biomarkers as Predictors of All-Cause Dementia: A 13-Year Follow-Up in the Whitehall II Cohort Study.” Neurology 107 (10): e218681. https://doi.org/10.1212/WNL.0000000000218681.</w:t>
      </w:r>
    </w:p>
    <w:p>
      <w:pPr>
        <w:spacing w:line="240" w:lineRule="auto" w:after="100"/>
        <w:ind w:left="360" w:hanging="360"/>
      </w:pPr>
      <w:r>
        <w:rPr>
          <w:rFonts w:ascii="Times New Roman" w:hAnsi="Times New Roman"/>
          <w:sz w:val="18"/>
        </w:rPr>
        <w:t>Salvadó, Gemma, Kanta Horie, Nicolas R. Barthélemy, Suzanne E. Schindler, Shorena Janelidze, Anna Orduña Dolado, Divya Bali, Richard J. Perrin, John C. Morris, Tammie L. S. Benzinger, Brian A. Gordon, Erik Stomrud, Niklas Mattsson-Carlgren, Sebastian Palmqvist, Jacob W. Vogel, Randall J. Bateman, Rik Ossenkoppele, and Oskar Hansson. 2026. “Plasma eMTBR-tau243 and %p-tau217 for Biological Staging of Alzheimer Disease.” JAMA Neurology 83 (7): 654–666. https://doi.org/10.1001/jamaneurol.2026.1405.</w:t>
      </w:r>
    </w:p>
    <w:p>
      <w:pPr>
        <w:spacing w:line="240" w:lineRule="auto" w:after="100"/>
        <w:ind w:left="360" w:hanging="360"/>
      </w:pPr>
      <w:r>
        <w:rPr>
          <w:rFonts w:ascii="Times New Roman" w:hAnsi="Times New Roman"/>
          <w:sz w:val="18"/>
        </w:rPr>
        <w:t>Suresh, Shivani, Luciana Maffei, Sarah Bauermeister, and Vanessa Raymont. 2026. “Blood Biomarkers for Diagnosis and Differential Diagnosis of Alzheimer’s Disease in Real-World Clinical Populations: A Systematic Review.” Journal of Alzheimer’s Disease 109 (4): 1574–1589. https://doi.org/10.1177/13872877251408510.</w:t>
      </w:r>
    </w:p>
    <w:p>
      <w:pPr>
        <w:spacing w:line="240" w:lineRule="auto" w:after="100"/>
        <w:ind w:left="360" w:hanging="360"/>
      </w:pPr>
      <w:r>
        <w:rPr>
          <w:rFonts w:ascii="Times New Roman" w:hAnsi="Times New Roman"/>
          <w:sz w:val="18"/>
        </w:rPr>
        <w:t>Therriault, Joseph, Wagner S. Brum, Lydia Trudel, Arthur C. Macedo, Fernando Valentim Bitencourt, Carolina Castro Martins-Pfeifer, Martin Nakouzi, Ilaria Pola, Matthew Wong, Przemysław R. Kac, Ana Paula Real, Chloë Witherow, Thomas K. Karikari, Alexis Moscoso, Eduardo R. Zimmer, Michael Schöll, Tharick Pascoal, Andrea L. Benedet, Nicholas J. Ashton, Suzanne E. Schindler, Henrik Zetterberg, Kaj Blennow, and Pedro Rosa-Neto. 2025. “Blood Phosphorylated Tau for the Diagnosis of Alzheimer’s Disease: A Systematic Review and Meta-Analysis.” The Lancet Neurology 24 (9): 740–752. https://doi.org/10.1016/S1474-4422(25)00227-3.</w:t>
      </w:r>
    </w:p>
    <w:p>
      <w:pPr>
        <w:spacing w:line="240" w:lineRule="auto" w:after="100"/>
        <w:ind w:left="360" w:hanging="360"/>
      </w:pPr>
      <w:r>
        <w:rPr>
          <w:rFonts w:ascii="Times New Roman" w:hAnsi="Times New Roman"/>
          <w:sz w:val="18"/>
        </w:rPr>
        <w:t>Weber, Darren M., Matthew A. Stroh, Steven W. Taylor, Robert J. Lagier, Judy Z. Louie, Nigel J. Clarke, David E. Vaillancourt, Sruti Rayaprolu, Ranjan Duara, and Michael K. Racke. 2025. “Development and Clinical Validation of Blood-Based Multibiomarker Models for the Evaluation of Brain Amyloid Pathology.” Neurology: Clinical Practice 15 (6): e200546. https://doi.org/10.1212/CPJ.0000000000200546.</w:t>
      </w:r>
    </w:p>
    <w:p>
      <w:pPr>
        <w:spacing w:line="240" w:lineRule="auto" w:after="100"/>
        <w:ind w:left="360" w:hanging="360"/>
      </w:pPr>
      <w:r>
        <w:rPr>
          <w:rFonts w:ascii="Times New Roman" w:hAnsi="Times New Roman"/>
          <w:sz w:val="18"/>
        </w:rPr>
        <w:t>Yim, Sohyun, Eun Hye Lee, Jungah Lee, et al. 2026. “Plasma eMTBR-tau243 and p-tau205 as T2 biomarkers for biological staging and prognosis in Alzheimer’s disease.” Nature Communications. Published online 19 October 2026 (early-access version; publisher notes that the version of record may be updated). https://doi.org/10.1038/s41467-026-78582-x.</w:t>
      </w:r>
    </w:p>
    <w:p>
      <w:pPr>
        <w:spacing w:line="240" w:lineRule="auto" w:after="100"/>
        <w:ind w:left="360" w:hanging="360"/>
      </w:pPr>
      <w:r>
        <w:rPr>
          <w:rFonts w:ascii="Times New Roman" w:hAnsi="Times New Roman"/>
          <w:sz w:val="18"/>
        </w:rPr>
        <w:t>Zeng, Xuemei, Nya Nicholson, and Thomas K. Karikari. 2026. “Blood-Based Biomarkers of Alzheimer’s Disease: Potential Utility in Clinical Practice.” Current Opinion in Neurology 39 (2): 168–175. https://doi.org/10.1097/WCO.0000000000001475.</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0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Times New Roman" w:hAnsi="Times New Roman" w:eastAsia="Times New Roman"/>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Times New Roman" w:hAnsi="Times New Roman" w:eastAsia="Times New Roman"/>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Times New Roman" w:hAnsi="Times New Roman" w:eastAsia="Times New Roman"/>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jc w:val="center"/>
    </w:pPr>
    <w:rPr>
      <w:rFonts w:asciiTheme="majorHAnsi" w:eastAsiaTheme="majorEastAsia" w:hAnsiTheme="majorHAnsi" w:cstheme="majorBidi" w:ascii="Times New Roman" w:hAnsi="Times New Roman" w:eastAsia="Times New Roman"/>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