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26C" w:rsidRPr="0078426C" w:rsidRDefault="0078426C" w:rsidP="0078426C">
      <w:pPr>
        <w:spacing w:after="1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Hidden Territorial Aggression and Social Dominance in Tri-Color Oranda Goldfish</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b/>
          <w:bCs/>
          <w:sz w:val="24"/>
          <w:szCs w:val="24"/>
          <w:lang w:eastAsia="en-IN"/>
        </w:rPr>
        <w:t>Author:</w:t>
      </w:r>
      <w:r w:rsidRPr="0078426C">
        <w:rPr>
          <w:rFonts w:ascii="Arial" w:eastAsia="Times New Roman" w:hAnsi="Arial" w:cs="Arial"/>
          <w:sz w:val="24"/>
          <w:szCs w:val="24"/>
          <w:lang w:eastAsia="en-IN"/>
        </w:rPr>
        <w:t xml:space="preserve"> Ankush Goswami</w:t>
      </w:r>
      <w:r w:rsidRPr="0078426C">
        <w:rPr>
          <w:rFonts w:ascii="Arial" w:eastAsia="Times New Roman" w:hAnsi="Arial" w:cs="Arial"/>
          <w:sz w:val="24"/>
          <w:szCs w:val="24"/>
          <w:lang w:eastAsia="en-IN"/>
        </w:rPr>
        <w:br/>
      </w:r>
      <w:r w:rsidRPr="0078426C">
        <w:rPr>
          <w:rFonts w:ascii="Arial" w:eastAsia="Times New Roman" w:hAnsi="Arial" w:cs="Arial"/>
          <w:b/>
          <w:bCs/>
          <w:sz w:val="24"/>
          <w:szCs w:val="24"/>
          <w:lang w:eastAsia="en-IN"/>
        </w:rPr>
        <w:t>Affiliation:</w:t>
      </w:r>
      <w:r w:rsidRPr="0078426C">
        <w:rPr>
          <w:rFonts w:ascii="Arial" w:eastAsia="Times New Roman" w:hAnsi="Arial" w:cs="Arial"/>
          <w:sz w:val="24"/>
          <w:szCs w:val="24"/>
          <w:lang w:eastAsia="en-IN"/>
        </w:rPr>
        <w:t xml:space="preserve"> Class X Student, Balurghat Lalit Mohan Adarsha Uccha Vidyalaya, Balurghat, Dakshin Dinajpur, West Bengal, 733101, India</w:t>
      </w:r>
      <w:r w:rsidRPr="0078426C">
        <w:rPr>
          <w:rFonts w:ascii="Arial" w:eastAsia="Times New Roman" w:hAnsi="Arial" w:cs="Arial"/>
          <w:sz w:val="24"/>
          <w:szCs w:val="24"/>
          <w:lang w:eastAsia="en-IN"/>
        </w:rPr>
        <w:br/>
      </w:r>
      <w:r w:rsidRPr="0078426C">
        <w:rPr>
          <w:rFonts w:ascii="Arial" w:eastAsia="Times New Roman" w:hAnsi="Arial" w:cs="Arial"/>
          <w:b/>
          <w:bCs/>
          <w:sz w:val="24"/>
          <w:szCs w:val="24"/>
          <w:lang w:eastAsia="en-IN"/>
        </w:rPr>
        <w:t>Corresponding Author Email:</w:t>
      </w:r>
      <w:r w:rsidRPr="0078426C">
        <w:rPr>
          <w:rFonts w:ascii="Arial" w:eastAsia="Times New Roman" w:hAnsi="Arial" w:cs="Arial"/>
          <w:sz w:val="24"/>
          <w:szCs w:val="24"/>
          <w:lang w:eastAsia="en-IN"/>
        </w:rPr>
        <w:t xml:space="preserve"> asthikgoswami16@gmail.com</w:t>
      </w:r>
      <w:r w:rsidRPr="0078426C">
        <w:rPr>
          <w:rFonts w:ascii="Arial" w:eastAsia="Times New Roman" w:hAnsi="Arial" w:cs="Arial"/>
          <w:sz w:val="24"/>
          <w:szCs w:val="24"/>
          <w:lang w:eastAsia="en-IN"/>
        </w:rPr>
        <w:br/>
      </w:r>
      <w:r w:rsidRPr="0078426C">
        <w:rPr>
          <w:rFonts w:ascii="Arial" w:eastAsia="Times New Roman" w:hAnsi="Arial" w:cs="Arial"/>
          <w:b/>
          <w:bCs/>
          <w:sz w:val="24"/>
          <w:szCs w:val="24"/>
          <w:lang w:eastAsia="en-IN"/>
        </w:rPr>
        <w:t>ORCID iD:</w:t>
      </w:r>
      <w:r w:rsidRPr="0078426C">
        <w:rPr>
          <w:rFonts w:ascii="Arial" w:eastAsia="Times New Roman" w:hAnsi="Arial" w:cs="Arial"/>
          <w:sz w:val="24"/>
          <w:szCs w:val="24"/>
          <w:lang w:eastAsia="en-IN"/>
        </w:rPr>
        <w:t xml:space="preserve"> 0009-0004-7730-7665</w:t>
      </w:r>
      <w:r w:rsidRPr="0078426C">
        <w:rPr>
          <w:rFonts w:ascii="Arial" w:eastAsia="Times New Roman" w:hAnsi="Arial" w:cs="Arial"/>
          <w:sz w:val="24"/>
          <w:szCs w:val="24"/>
          <w:lang w:eastAsia="en-IN"/>
        </w:rPr>
        <w:br/>
      </w:r>
      <w:r w:rsidRPr="0078426C">
        <w:rPr>
          <w:rFonts w:ascii="Arial" w:eastAsia="Times New Roman" w:hAnsi="Arial" w:cs="Arial"/>
          <w:b/>
          <w:bCs/>
          <w:sz w:val="24"/>
          <w:szCs w:val="24"/>
          <w:lang w:eastAsia="en-IN"/>
        </w:rPr>
        <w:t>Repository Platform:</w:t>
      </w:r>
      <w:r w:rsidRPr="0078426C">
        <w:rPr>
          <w:rFonts w:ascii="Arial" w:eastAsia="Times New Roman" w:hAnsi="Arial" w:cs="Arial"/>
          <w:sz w:val="24"/>
          <w:szCs w:val="24"/>
          <w:lang w:eastAsia="en-IN"/>
        </w:rPr>
        <w:t xml:space="preserve"> Zenodo Open-Access Repository</w:t>
      </w:r>
      <w:r w:rsidRPr="0078426C">
        <w:rPr>
          <w:rFonts w:ascii="Arial" w:eastAsia="Times New Roman" w:hAnsi="Arial" w:cs="Arial"/>
          <w:sz w:val="24"/>
          <w:szCs w:val="24"/>
          <w:lang w:eastAsia="en-IN"/>
        </w:rPr>
        <w:br/>
      </w:r>
      <w:r w:rsidRPr="0078426C">
        <w:rPr>
          <w:rFonts w:ascii="Arial" w:eastAsia="Times New Roman" w:hAnsi="Arial" w:cs="Arial"/>
          <w:b/>
          <w:bCs/>
          <w:sz w:val="24"/>
          <w:szCs w:val="24"/>
          <w:lang w:eastAsia="en-IN"/>
        </w:rPr>
        <w:t>Digital Object Identifier (DOI):</w:t>
      </w:r>
      <w:r w:rsidRPr="0078426C">
        <w:rPr>
          <w:rFonts w:ascii="Arial" w:eastAsia="Times New Roman" w:hAnsi="Arial" w:cs="Arial"/>
          <w:sz w:val="24"/>
          <w:szCs w:val="24"/>
          <w:lang w:eastAsia="en-IN"/>
        </w:rPr>
        <w:t xml:space="preserve"> 10.5281/zenodo.23220360</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25"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Abstract</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Goldfish (</w:t>
      </w:r>
      <w:r w:rsidRPr="0078426C">
        <w:rPr>
          <w:rFonts w:ascii="Arial" w:eastAsia="Times New Roman" w:hAnsi="Arial" w:cs="Arial"/>
          <w:i/>
          <w:iCs/>
          <w:sz w:val="24"/>
          <w:szCs w:val="24"/>
          <w:lang w:eastAsia="en-IN"/>
        </w:rPr>
        <w:t>Carassius auratus</w:t>
      </w:r>
      <w:r w:rsidRPr="0078426C">
        <w:rPr>
          <w:rFonts w:ascii="Arial" w:eastAsia="Times New Roman" w:hAnsi="Arial" w:cs="Arial"/>
          <w:sz w:val="24"/>
          <w:szCs w:val="24"/>
          <w:lang w:eastAsia="en-IN"/>
        </w:rPr>
        <w:t>) have undergone over 2,000 years of selective breeding to enhance aesthetic traits, historically promoting docile behavior. However, intensive artificial selection for high-grade phenotypic variations, specifically the Tri-Color Oranda variety, may inadvertently alter heritable behavioral traits, shifting them from peaceful to highly territorial. An extensive 8-year longitudinal observational study involving a total baseline pool of 510 fish was conducted in Balurghat, West Bengal, focusing critically on 95 individual specimens of Tri-Color Orandas tracked across three distinct generations. Observations were maintained in a 2x1x1 feet glass tank (Setup A) and a &gt;200-liter cement tub (Setup B) under controlled water parameters (26 to 29 degrees Celsius).</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The study reveals that Tri-Color Orandas exhibit extreme, undocumented hidden territorial dominance. Due to morphological constraints, they lack the dentition to inflict physical wounds; instead, their mechanism of lethality relies entirely on unrelenting, tactical pursuit. In confined setups, this chasing induced fatal physiological stress in both conspecifics and traditionally dominant tank mates, including Adult Parrot Cichlids (</w:t>
      </w:r>
      <w:r w:rsidRPr="0078426C">
        <w:rPr>
          <w:rFonts w:ascii="Arial" w:eastAsia="Times New Roman" w:hAnsi="Arial" w:cs="Arial"/>
          <w:i/>
          <w:iCs/>
          <w:sz w:val="24"/>
          <w:szCs w:val="24"/>
          <w:lang w:eastAsia="en-IN"/>
        </w:rPr>
        <w:t>Amphilophus cichlid crosses</w:t>
      </w:r>
      <w:r w:rsidRPr="0078426C">
        <w:rPr>
          <w:rFonts w:ascii="Arial" w:eastAsia="Times New Roman" w:hAnsi="Arial" w:cs="Arial"/>
          <w:sz w:val="24"/>
          <w:szCs w:val="24"/>
          <w:lang w:eastAsia="en-IN"/>
        </w:rPr>
        <w:t>) and Oscar Cichlids (</w:t>
      </w:r>
      <w:r w:rsidRPr="0078426C">
        <w:rPr>
          <w:rFonts w:ascii="Arial" w:eastAsia="Times New Roman" w:hAnsi="Arial" w:cs="Arial"/>
          <w:i/>
          <w:iCs/>
          <w:sz w:val="24"/>
          <w:szCs w:val="24"/>
          <w:lang w:eastAsia="en-IN"/>
        </w:rPr>
        <w:t>Astronotus ocellatus</w:t>
      </w:r>
      <w:r w:rsidRPr="0078426C">
        <w:rPr>
          <w:rFonts w:ascii="Arial" w:eastAsia="Times New Roman" w:hAnsi="Arial" w:cs="Arial"/>
          <w:sz w:val="24"/>
          <w:szCs w:val="24"/>
          <w:lang w:eastAsia="en-IN"/>
        </w:rPr>
        <w:t>). Conversely, in the larger ecosystem, a stable social hierarchy was achieved where even larger species, such as 1-foot Koi Carps (</w:t>
      </w:r>
      <w:r w:rsidRPr="0078426C">
        <w:rPr>
          <w:rFonts w:ascii="Arial" w:eastAsia="Times New Roman" w:hAnsi="Arial" w:cs="Arial"/>
          <w:i/>
          <w:iCs/>
          <w:sz w:val="24"/>
          <w:szCs w:val="24"/>
          <w:lang w:eastAsia="en-IN"/>
        </w:rPr>
        <w:t>Cyprinus rubrofuscus</w:t>
      </w:r>
      <w:r w:rsidRPr="0078426C">
        <w:rPr>
          <w:rFonts w:ascii="Arial" w:eastAsia="Times New Roman" w:hAnsi="Arial" w:cs="Arial"/>
          <w:sz w:val="24"/>
          <w:szCs w:val="24"/>
          <w:lang w:eastAsia="en-IN"/>
        </w:rPr>
        <w:t>), conformed to their psychological dominance. This research uncovers a heritable genetic behavioral shift in fancy goldfish strains, offering critical insights into the evolutionary trade-offs of artificial breeding mutations.</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b/>
          <w:bCs/>
          <w:sz w:val="24"/>
          <w:szCs w:val="24"/>
          <w:lang w:eastAsia="en-IN"/>
        </w:rPr>
        <w:t>Keywords:</w:t>
      </w:r>
      <w:r w:rsidRPr="0078426C">
        <w:rPr>
          <w:rFonts w:ascii="Arial" w:eastAsia="Times New Roman" w:hAnsi="Arial" w:cs="Arial"/>
          <w:sz w:val="24"/>
          <w:szCs w:val="24"/>
          <w:lang w:eastAsia="en-IN"/>
        </w:rPr>
        <w:t xml:space="preserve"> Goldfish Behavior, </w:t>
      </w:r>
      <w:r w:rsidRPr="0078426C">
        <w:rPr>
          <w:rFonts w:ascii="Arial" w:eastAsia="Times New Roman" w:hAnsi="Arial" w:cs="Arial"/>
          <w:i/>
          <w:iCs/>
          <w:sz w:val="24"/>
          <w:szCs w:val="24"/>
          <w:lang w:eastAsia="en-IN"/>
        </w:rPr>
        <w:t>Carassius auratus</w:t>
      </w:r>
      <w:r w:rsidRPr="0078426C">
        <w:rPr>
          <w:rFonts w:ascii="Arial" w:eastAsia="Times New Roman" w:hAnsi="Arial" w:cs="Arial"/>
          <w:sz w:val="24"/>
          <w:szCs w:val="24"/>
          <w:lang w:eastAsia="en-IN"/>
        </w:rPr>
        <w:t>, Selective Breeding Mutations, Territorial Aggressive Drive, Aquaculture and Ichthyology, Fancy Goldfish Dominance.</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26"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Introduction</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lastRenderedPageBreak/>
        <w:t>The domestication and artificial selection of the goldfish (</w:t>
      </w:r>
      <w:r w:rsidRPr="0078426C">
        <w:rPr>
          <w:rFonts w:ascii="Arial" w:eastAsia="Times New Roman" w:hAnsi="Arial" w:cs="Arial"/>
          <w:i/>
          <w:iCs/>
          <w:sz w:val="24"/>
          <w:szCs w:val="24"/>
          <w:lang w:eastAsia="en-IN"/>
        </w:rPr>
        <w:t>Carassius auratus</w:t>
      </w:r>
      <w:r w:rsidRPr="0078426C">
        <w:rPr>
          <w:rFonts w:ascii="Arial" w:eastAsia="Times New Roman" w:hAnsi="Arial" w:cs="Arial"/>
          <w:sz w:val="24"/>
          <w:szCs w:val="24"/>
          <w:lang w:eastAsia="en-IN"/>
        </w:rPr>
        <w:t>) represent one of the oldest recorded anthropogenic genetic experiments, spanning over two millennia since the Tang Dynasty in China. Selective breeding has long prioritized morphological exaggerations—such as double tails, dorsal fin deletions, and fluid-filled sacs—which naturally restricted swimming speeds and inadvertently selected for highly docile, non-aggressive behavior. Consequently, contemporary ichthyological literature and aquaculture standards safely categorize fancy goldfish as completely peaceful community fish.</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However, intensive high-grade genetic selection aimed at fixing rare color phenotypes, such as the tri-color (calico/metallic expressions), appears to unmask latent, ancestral territorial drives. Animal behavior studies have established that selecting for specific physical traits can sometimes cause unintended behavioral mutations due to genetic linkage or pleiotropy. This 8-year study challenges the absolute consensus of goldfish docility by documenting a persistent, non-seasonally restricted, heritable aggressive drive uniquely isolated within Tri-Color Orandas across three successive generations. This paper formalizes these long-term manual observations to serve as a baseline for future genetic mapping of behavioral divergence in domesticated teleost species.</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27"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Materials and Methods</w:t>
      </w:r>
    </w:p>
    <w:p w:rsidR="0078426C" w:rsidRPr="0078426C" w:rsidRDefault="0078426C" w:rsidP="0078426C">
      <w:pPr>
        <w:spacing w:before="480" w:after="4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Experimental Architecture and Environmental Parameters</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The longitudinal study was conducted between 2018 and 2026 at a residential research setup in Balurghat, West Bengal, India. Over this 8-year period, a cumulative baseline pool of 510 ornamental fish from various families was monitored to establish standard community behavioral parameters.</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The primary observational environments consisted of two configurations:</w:t>
      </w:r>
    </w:p>
    <w:p w:rsidR="0078426C" w:rsidRPr="0078426C" w:rsidRDefault="0078426C" w:rsidP="0078426C">
      <w:pPr>
        <w:numPr>
          <w:ilvl w:val="0"/>
          <w:numId w:val="1"/>
        </w:numPr>
        <w:spacing w:after="0" w:line="240" w:lineRule="auto"/>
        <w:ind w:left="0"/>
        <w:rPr>
          <w:rFonts w:ascii="Arial" w:eastAsia="Times New Roman" w:hAnsi="Arial" w:cs="Arial"/>
          <w:sz w:val="24"/>
          <w:szCs w:val="24"/>
          <w:lang w:eastAsia="en-IN"/>
        </w:rPr>
      </w:pPr>
      <w:r w:rsidRPr="0078426C">
        <w:rPr>
          <w:rFonts w:ascii="Arial" w:eastAsia="Times New Roman" w:hAnsi="Arial" w:cs="Arial"/>
          <w:b/>
          <w:bCs/>
          <w:sz w:val="24"/>
          <w:szCs w:val="24"/>
          <w:lang w:eastAsia="en-IN"/>
        </w:rPr>
        <w:t>Setup A (Confined Glass Aquarium):</w:t>
      </w:r>
      <w:r w:rsidRPr="0078426C">
        <w:rPr>
          <w:rFonts w:ascii="Arial" w:eastAsia="Times New Roman" w:hAnsi="Arial" w:cs="Arial"/>
          <w:sz w:val="24"/>
          <w:szCs w:val="24"/>
          <w:lang w:eastAsia="en-IN"/>
        </w:rPr>
        <w:t xml:space="preserve"> A 2x1x1 feet glass tank (~60 liters) equipped with a Sobo Sponge Filter and dual Hang-On-Back filters (Sobo WP-606H and WP-5088H Slim). The filters contained porous active biological media to ensure rapid nitrogen cycling.</w:t>
      </w:r>
    </w:p>
    <w:p w:rsidR="0078426C" w:rsidRPr="0078426C" w:rsidRDefault="0078426C" w:rsidP="0078426C">
      <w:pPr>
        <w:numPr>
          <w:ilvl w:val="0"/>
          <w:numId w:val="1"/>
        </w:numPr>
        <w:spacing w:after="0" w:line="240" w:lineRule="auto"/>
        <w:ind w:left="0"/>
        <w:rPr>
          <w:rFonts w:ascii="Arial" w:eastAsia="Times New Roman" w:hAnsi="Arial" w:cs="Arial"/>
          <w:sz w:val="24"/>
          <w:szCs w:val="24"/>
          <w:lang w:eastAsia="en-IN"/>
        </w:rPr>
      </w:pPr>
      <w:r w:rsidRPr="0078426C">
        <w:rPr>
          <w:rFonts w:ascii="Arial" w:eastAsia="Times New Roman" w:hAnsi="Arial" w:cs="Arial"/>
          <w:b/>
          <w:bCs/>
          <w:sz w:val="24"/>
          <w:szCs w:val="24"/>
          <w:lang w:eastAsia="en-IN"/>
        </w:rPr>
        <w:t>Setup B (Expanded Dynamic Ecosystem):</w:t>
      </w:r>
      <w:r w:rsidRPr="0078426C">
        <w:rPr>
          <w:rFonts w:ascii="Arial" w:eastAsia="Times New Roman" w:hAnsi="Arial" w:cs="Arial"/>
          <w:sz w:val="24"/>
          <w:szCs w:val="24"/>
          <w:lang w:eastAsia="en-IN"/>
        </w:rPr>
        <w:t xml:space="preserve"> A heavy-duty round cement tub with a volume exceeding 200 liters, powered by a Sobo 3880F Top Filter.</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Water temperatures were maintained stable between 26 and 29 degrees Celsius. To control nitrate accumulation, partial water changes of 20 percent to 40 percent were systematically executed every 15 to 20 days. Microlife S2 water conditioner was deployed during water replenishment and new species integration to mitigate osmotic shock and maintain strict water quality.</w:t>
      </w:r>
    </w:p>
    <w:p w:rsidR="0078426C" w:rsidRPr="0078426C" w:rsidRDefault="0078426C" w:rsidP="0078426C">
      <w:pPr>
        <w:spacing w:after="1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Observational Methodology and Constraints</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lastRenderedPageBreak/>
        <w:t>Due to severe socioeconomic and resource limitations, advanced institutional apparatuses such as continuous digital video logging or digital tracking software were unavailable. To compensate, data collection relied on rigorous, cross-checked manual logging. The author performed daily visual observation logs (totaling over 1,500 documented hours across the study period), recording chasing frequencies, displacement actions, submissive schooling, and stress-induced physiological symptoms (e.g., rapid opercular movement, clamping of fins). Controlled experimental trials were manually logged when shifting specimens into Setup A to document localized micro-behavioral changes.</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28"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Results and Discussion</w:t>
      </w:r>
    </w:p>
    <w:p w:rsidR="0078426C" w:rsidRPr="0078426C" w:rsidRDefault="0078426C" w:rsidP="0078426C">
      <w:pPr>
        <w:spacing w:before="480" w:after="4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Generational Consistency and Isolation of Phenotype</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The behavioral dataset is derived from tracking 95 individual Tri-Color Oranda specimens across three distinct generations (\(F_{1}\), \(F_{2}\), and \(F_{3}\)) out of the historical baseline pool of 510 fish. To isolate whether this territorial drive was universal to fancy goldfish or unique to this phenotype, other common fancy variants (e.g., Ryukins, Black Moors, and Standard Red-and-White Orandas) were co-cultured under identical environmental conditions. Remarkably, none of the control fancy goldfish variants exhibited any forms of territorial defense or active chasing, confirming that this aggressive behavior is specifically linked to the high-grade Tri-Color Oranda lineage.</w:t>
      </w:r>
    </w:p>
    <w:p w:rsidR="0078426C" w:rsidRPr="0078426C" w:rsidRDefault="0078426C" w:rsidP="0078426C">
      <w:pPr>
        <w:spacing w:before="480" w:after="4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Non-Physical Lethality Mechanism (Confined Environment - Setup A)</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Goldfish lack sharp oral dentition or jaw modifications capable of tearing tissue or inflicting physical bite wounds. However, the study discovered that the Tri-Color Oranda compensates for this by utilizing an unrelenting, strategic chasing mechanism designed to induce psychological and physiological exhaustion.</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In Setup A, a single dominant Tri-Color Oranda initiated persistent chasing against a group of conspecific goldfish within a confined space, resulting in 100 percent mortality due to chronic stress. In a subsequent trial, a pair of 4-to-5-inch Tri-Color Orandas systematically targeted and eliminated two significantly larger 1-foot goldfish through continuous displacement.</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When aggressive tropical cichlids were introduced into Setup A, the territorial drive of the Orandas did not diminish. A group of Tri-Color Orandas subjected one adult Blood Parrot Cichlid and two adult Oscar Cichlids (</w:t>
      </w:r>
      <w:r w:rsidRPr="0078426C">
        <w:rPr>
          <w:rFonts w:ascii="Arial" w:eastAsia="Times New Roman" w:hAnsi="Arial" w:cs="Arial"/>
          <w:i/>
          <w:iCs/>
          <w:sz w:val="24"/>
          <w:szCs w:val="24"/>
          <w:lang w:eastAsia="en-IN"/>
        </w:rPr>
        <w:t>Astronotus ocellatus</w:t>
      </w:r>
      <w:r w:rsidRPr="0078426C">
        <w:rPr>
          <w:rFonts w:ascii="Arial" w:eastAsia="Times New Roman" w:hAnsi="Arial" w:cs="Arial"/>
          <w:sz w:val="24"/>
          <w:szCs w:val="24"/>
          <w:lang w:eastAsia="en-IN"/>
        </w:rPr>
        <w:t xml:space="preserve">) to constant pursuit. Deprived of resting zones, these traditionally apex cichlids suffered terminal </w:t>
      </w:r>
      <w:r w:rsidRPr="0078426C">
        <w:rPr>
          <w:rFonts w:ascii="Arial" w:eastAsia="Times New Roman" w:hAnsi="Arial" w:cs="Arial"/>
          <w:sz w:val="24"/>
          <w:szCs w:val="24"/>
          <w:lang w:eastAsia="en-IN"/>
        </w:rPr>
        <w:lastRenderedPageBreak/>
        <w:t>physiological stress, manifested by severe lethargy and subsequent organ failure within a compressed 14-day window.</w:t>
      </w:r>
    </w:p>
    <w:p w:rsidR="0078426C" w:rsidRPr="0078426C" w:rsidRDefault="0078426C" w:rsidP="0078426C">
      <w:pPr>
        <w:spacing w:after="1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Structured Psychological Dominance (Expanded Environment - Setup B)</w:t>
      </w:r>
    </w:p>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In the larger &gt;200-liter cement tub ecosystem (Setup B), the manifestation of aggression shifted from fatal targeting to the establishment of a stable, rigid social hierarchy. A sub-population of 6 Tri-Color Orandas formed a collective dominant unit, behaving functionally as a "Group of Bosses."</w:t>
      </w:r>
    </w:p>
    <w:p w:rsidR="0078426C" w:rsidRPr="0078426C" w:rsidRDefault="0078426C" w:rsidP="0078426C">
      <w:pPr>
        <w:spacing w:after="180" w:line="240" w:lineRule="auto"/>
        <w:rPr>
          <w:rFonts w:ascii="Arial" w:eastAsia="Times New Roman" w:hAnsi="Arial" w:cs="Arial"/>
          <w:b/>
          <w:bCs/>
          <w:sz w:val="27"/>
          <w:szCs w:val="27"/>
          <w:lang w:eastAsia="en-IN"/>
        </w:rPr>
      </w:pPr>
      <w:r w:rsidRPr="0078426C">
        <w:rPr>
          <w:rFonts w:ascii="Arial" w:eastAsia="Times New Roman" w:hAnsi="Arial" w:cs="Arial"/>
          <w:b/>
          <w:bCs/>
          <w:sz w:val="27"/>
          <w:szCs w:val="27"/>
          <w:lang w:eastAsia="en-IN"/>
        </w:rPr>
        <w:t>Table 1: Social Hierarchy Mapping and Co-habitant Behavior under Tri-Color Oranda Dominance</w:t>
      </w:r>
    </w:p>
    <w:tbl>
      <w:tblPr>
        <w:tblW w:w="0" w:type="auto"/>
        <w:tblCellSpacing w:w="15" w:type="dxa"/>
        <w:tblCellMar>
          <w:top w:w="15" w:type="dxa"/>
          <w:left w:w="15" w:type="dxa"/>
          <w:bottom w:w="15" w:type="dxa"/>
          <w:right w:w="15" w:type="dxa"/>
        </w:tblCellMar>
        <w:tblLook w:val="04A0"/>
      </w:tblPr>
      <w:tblGrid>
        <w:gridCol w:w="1946"/>
        <w:gridCol w:w="1480"/>
        <w:gridCol w:w="1328"/>
        <w:gridCol w:w="4362"/>
      </w:tblGrid>
      <w:tr w:rsidR="0078426C" w:rsidRPr="0078426C" w:rsidTr="0078426C">
        <w:trPr>
          <w:tblCellSpacing w:w="15" w:type="dxa"/>
        </w:trPr>
        <w:tc>
          <w:tcPr>
            <w:tcW w:w="0" w:type="auto"/>
            <w:tcBorders>
              <w:bottom w:val="single" w:sz="6" w:space="0" w:color="DCDFE5"/>
            </w:tcBorders>
            <w:vAlign w:val="center"/>
            <w:hideMark/>
          </w:tcPr>
          <w:p w:rsidR="0078426C" w:rsidRPr="0078426C" w:rsidRDefault="0078426C" w:rsidP="0078426C">
            <w:pPr>
              <w:spacing w:after="0" w:line="240" w:lineRule="auto"/>
              <w:jc w:val="center"/>
              <w:rPr>
                <w:rFonts w:ascii="Arial" w:eastAsia="Times New Roman" w:hAnsi="Arial" w:cs="Arial"/>
                <w:b/>
                <w:bCs/>
                <w:sz w:val="21"/>
                <w:szCs w:val="21"/>
                <w:lang w:eastAsia="en-IN"/>
              </w:rPr>
            </w:pPr>
            <w:r w:rsidRPr="0078426C">
              <w:rPr>
                <w:rFonts w:ascii="Arial" w:eastAsia="Times New Roman" w:hAnsi="Arial" w:cs="Arial"/>
                <w:b/>
                <w:bCs/>
                <w:sz w:val="21"/>
                <w:szCs w:val="21"/>
                <w:lang w:eastAsia="en-IN"/>
              </w:rPr>
              <w:t>Co-habitant Species</w:t>
            </w:r>
          </w:p>
        </w:tc>
        <w:tc>
          <w:tcPr>
            <w:tcW w:w="0" w:type="auto"/>
            <w:tcBorders>
              <w:bottom w:val="single" w:sz="6" w:space="0" w:color="DCDFE5"/>
            </w:tcBorders>
            <w:vAlign w:val="center"/>
            <w:hideMark/>
          </w:tcPr>
          <w:p w:rsidR="0078426C" w:rsidRPr="0078426C" w:rsidRDefault="0078426C" w:rsidP="0078426C">
            <w:pPr>
              <w:spacing w:after="0" w:line="240" w:lineRule="auto"/>
              <w:jc w:val="center"/>
              <w:rPr>
                <w:rFonts w:ascii="Arial" w:eastAsia="Times New Roman" w:hAnsi="Arial" w:cs="Arial"/>
                <w:b/>
                <w:bCs/>
                <w:sz w:val="21"/>
                <w:szCs w:val="21"/>
                <w:lang w:eastAsia="en-IN"/>
              </w:rPr>
            </w:pPr>
            <w:r w:rsidRPr="0078426C">
              <w:rPr>
                <w:rFonts w:ascii="Arial" w:eastAsia="Times New Roman" w:hAnsi="Arial" w:cs="Arial"/>
                <w:b/>
                <w:bCs/>
                <w:sz w:val="21"/>
                <w:szCs w:val="21"/>
                <w:lang w:eastAsia="en-IN"/>
              </w:rPr>
              <w:t>Population (\(N\))</w:t>
            </w:r>
          </w:p>
        </w:tc>
        <w:tc>
          <w:tcPr>
            <w:tcW w:w="0" w:type="auto"/>
            <w:tcBorders>
              <w:bottom w:val="single" w:sz="6" w:space="0" w:color="DCDFE5"/>
            </w:tcBorders>
            <w:vAlign w:val="center"/>
            <w:hideMark/>
          </w:tcPr>
          <w:p w:rsidR="0078426C" w:rsidRPr="0078426C" w:rsidRDefault="0078426C" w:rsidP="0078426C">
            <w:pPr>
              <w:spacing w:after="0" w:line="240" w:lineRule="auto"/>
              <w:jc w:val="center"/>
              <w:rPr>
                <w:rFonts w:ascii="Arial" w:eastAsia="Times New Roman" w:hAnsi="Arial" w:cs="Arial"/>
                <w:b/>
                <w:bCs/>
                <w:sz w:val="21"/>
                <w:szCs w:val="21"/>
                <w:lang w:eastAsia="en-IN"/>
              </w:rPr>
            </w:pPr>
            <w:r w:rsidRPr="0078426C">
              <w:rPr>
                <w:rFonts w:ascii="Arial" w:eastAsia="Times New Roman" w:hAnsi="Arial" w:cs="Arial"/>
                <w:b/>
                <w:bCs/>
                <w:sz w:val="21"/>
                <w:szCs w:val="21"/>
                <w:lang w:eastAsia="en-IN"/>
              </w:rPr>
              <w:t>Average Size</w:t>
            </w:r>
          </w:p>
        </w:tc>
        <w:tc>
          <w:tcPr>
            <w:tcW w:w="0" w:type="auto"/>
            <w:tcBorders>
              <w:bottom w:val="single" w:sz="6" w:space="0" w:color="DCDFE5"/>
            </w:tcBorders>
            <w:vAlign w:val="center"/>
            <w:hideMark/>
          </w:tcPr>
          <w:p w:rsidR="0078426C" w:rsidRPr="0078426C" w:rsidRDefault="0078426C" w:rsidP="0078426C">
            <w:pPr>
              <w:spacing w:after="0" w:line="240" w:lineRule="auto"/>
              <w:jc w:val="center"/>
              <w:rPr>
                <w:rFonts w:ascii="Arial" w:eastAsia="Times New Roman" w:hAnsi="Arial" w:cs="Arial"/>
                <w:b/>
                <w:bCs/>
                <w:sz w:val="21"/>
                <w:szCs w:val="21"/>
                <w:lang w:eastAsia="en-IN"/>
              </w:rPr>
            </w:pPr>
            <w:r w:rsidRPr="0078426C">
              <w:rPr>
                <w:rFonts w:ascii="Arial" w:eastAsia="Times New Roman" w:hAnsi="Arial" w:cs="Arial"/>
                <w:b/>
                <w:bCs/>
                <w:sz w:val="21"/>
                <w:szCs w:val="21"/>
                <w:lang w:eastAsia="en-IN"/>
              </w:rPr>
              <w:t>Observed Behavior under Oranda Dominance</w:t>
            </w:r>
          </w:p>
        </w:tc>
      </w:tr>
      <w:tr w:rsidR="0078426C" w:rsidRPr="0078426C" w:rsidTr="0078426C">
        <w:trPr>
          <w:tblCellSpacing w:w="15" w:type="dxa"/>
        </w:trPr>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b/>
                <w:bCs/>
                <w:sz w:val="21"/>
                <w:lang w:eastAsia="en-IN"/>
              </w:rPr>
              <w:t>Tri-Color Oranda</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6</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4 to 5 inches</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Dominant Core; controls feeding zones and territory.</w:t>
            </w:r>
          </w:p>
        </w:tc>
      </w:tr>
      <w:tr w:rsidR="0078426C" w:rsidRPr="0078426C" w:rsidTr="0078426C">
        <w:trPr>
          <w:tblCellSpacing w:w="15" w:type="dxa"/>
        </w:trPr>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b/>
                <w:bCs/>
                <w:sz w:val="21"/>
                <w:lang w:eastAsia="en-IN"/>
              </w:rPr>
              <w:t>Koi Carp</w:t>
            </w:r>
            <w:r w:rsidRPr="0078426C">
              <w:rPr>
                <w:rFonts w:ascii="Arial" w:eastAsia="Times New Roman" w:hAnsi="Arial" w:cs="Arial"/>
                <w:sz w:val="21"/>
                <w:szCs w:val="21"/>
                <w:lang w:eastAsia="en-IN"/>
              </w:rPr>
              <w:t xml:space="preserve"> (</w:t>
            </w:r>
            <w:r w:rsidRPr="0078426C">
              <w:rPr>
                <w:rFonts w:ascii="Arial" w:eastAsia="Times New Roman" w:hAnsi="Arial" w:cs="Arial"/>
                <w:i/>
                <w:iCs/>
                <w:sz w:val="21"/>
                <w:lang w:eastAsia="en-IN"/>
              </w:rPr>
              <w:t>C. rubrofuscus</w:t>
            </w:r>
            <w:r w:rsidRPr="0078426C">
              <w:rPr>
                <w:rFonts w:ascii="Arial" w:eastAsia="Times New Roman" w:hAnsi="Arial" w:cs="Arial"/>
                <w:sz w:val="21"/>
                <w:szCs w:val="21"/>
                <w:lang w:eastAsia="en-IN"/>
              </w:rPr>
              <w:t>)</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3</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12 inches (1 foot)</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Submissive; alters swimming path to avoid Oranda zones.</w:t>
            </w:r>
          </w:p>
        </w:tc>
      </w:tr>
      <w:tr w:rsidR="0078426C" w:rsidRPr="0078426C" w:rsidTr="0078426C">
        <w:trPr>
          <w:tblCellSpacing w:w="15" w:type="dxa"/>
        </w:trPr>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b/>
                <w:bCs/>
                <w:sz w:val="21"/>
                <w:lang w:eastAsia="en-IN"/>
              </w:rPr>
              <w:t>Koi Carp</w:t>
            </w:r>
            <w:r w:rsidRPr="0078426C">
              <w:rPr>
                <w:rFonts w:ascii="Arial" w:eastAsia="Times New Roman" w:hAnsi="Arial" w:cs="Arial"/>
                <w:sz w:val="21"/>
                <w:szCs w:val="21"/>
                <w:lang w:eastAsia="en-IN"/>
              </w:rPr>
              <w:t xml:space="preserve"> (</w:t>
            </w:r>
            <w:r w:rsidRPr="0078426C">
              <w:rPr>
                <w:rFonts w:ascii="Arial" w:eastAsia="Times New Roman" w:hAnsi="Arial" w:cs="Arial"/>
                <w:i/>
                <w:iCs/>
                <w:sz w:val="21"/>
                <w:lang w:eastAsia="en-IN"/>
              </w:rPr>
              <w:t>C. rubrofuscus</w:t>
            </w:r>
            <w:r w:rsidRPr="0078426C">
              <w:rPr>
                <w:rFonts w:ascii="Arial" w:eastAsia="Times New Roman" w:hAnsi="Arial" w:cs="Arial"/>
                <w:sz w:val="21"/>
                <w:szCs w:val="21"/>
                <w:lang w:eastAsia="en-IN"/>
              </w:rPr>
              <w:t>)</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10</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5 to 6 inches</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Submissive Schooling; tight schooling to avoid triggering chase response.</w:t>
            </w:r>
          </w:p>
        </w:tc>
      </w:tr>
      <w:tr w:rsidR="0078426C" w:rsidRPr="0078426C" w:rsidTr="0078426C">
        <w:trPr>
          <w:tblCellSpacing w:w="15" w:type="dxa"/>
        </w:trPr>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b/>
                <w:bCs/>
                <w:sz w:val="21"/>
                <w:lang w:eastAsia="en-IN"/>
              </w:rPr>
              <w:t>Black Ghost Knife fish</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2</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6 to 7 inches</w:t>
            </w:r>
          </w:p>
        </w:tc>
        <w:tc>
          <w:tcPr>
            <w:tcW w:w="0" w:type="auto"/>
            <w:tcBorders>
              <w:bottom w:val="single" w:sz="6" w:space="0" w:color="DCDFE5"/>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Retreat Behavior; remains confined to lower benthic shelters.</w:t>
            </w:r>
          </w:p>
        </w:tc>
      </w:tr>
      <w:tr w:rsidR="0078426C" w:rsidRPr="0078426C" w:rsidTr="0078426C">
        <w:trPr>
          <w:tblCellSpacing w:w="15" w:type="dxa"/>
        </w:trPr>
        <w:tc>
          <w:tcPr>
            <w:tcW w:w="0" w:type="auto"/>
            <w:tcBorders>
              <w:bottom w:val="nil"/>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b/>
                <w:bCs/>
                <w:sz w:val="21"/>
                <w:lang w:eastAsia="en-IN"/>
              </w:rPr>
              <w:t>Iridescent Shark</w:t>
            </w:r>
          </w:p>
        </w:tc>
        <w:tc>
          <w:tcPr>
            <w:tcW w:w="0" w:type="auto"/>
            <w:tcBorders>
              <w:bottom w:val="nil"/>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1</w:t>
            </w:r>
          </w:p>
        </w:tc>
        <w:tc>
          <w:tcPr>
            <w:tcW w:w="0" w:type="auto"/>
            <w:tcBorders>
              <w:bottom w:val="nil"/>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8 inches</w:t>
            </w:r>
          </w:p>
        </w:tc>
        <w:tc>
          <w:tcPr>
            <w:tcW w:w="0" w:type="auto"/>
            <w:tcBorders>
              <w:bottom w:val="nil"/>
            </w:tcBorders>
            <w:vAlign w:val="center"/>
            <w:hideMark/>
          </w:tcPr>
          <w:p w:rsidR="0078426C" w:rsidRPr="0078426C" w:rsidRDefault="0078426C" w:rsidP="0078426C">
            <w:pPr>
              <w:spacing w:after="0" w:line="240" w:lineRule="auto"/>
              <w:rPr>
                <w:rFonts w:ascii="Arial" w:eastAsia="Times New Roman" w:hAnsi="Arial" w:cs="Arial"/>
                <w:sz w:val="21"/>
                <w:szCs w:val="21"/>
                <w:lang w:eastAsia="en-IN"/>
              </w:rPr>
            </w:pPr>
            <w:r w:rsidRPr="0078426C">
              <w:rPr>
                <w:rFonts w:ascii="Arial" w:eastAsia="Times New Roman" w:hAnsi="Arial" w:cs="Arial"/>
                <w:sz w:val="21"/>
                <w:szCs w:val="21"/>
                <w:lang w:eastAsia="en-IN"/>
              </w:rPr>
              <w:t>Submissive High-Speed Avoidance; yields right-of-way during feeding.</w:t>
            </w:r>
          </w:p>
        </w:tc>
      </w:tr>
    </w:tbl>
    <w:p w:rsidR="0078426C" w:rsidRPr="0078426C" w:rsidRDefault="0078426C" w:rsidP="0078426C">
      <w:pPr>
        <w:spacing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As mapped in Table 1 above, even the 1-foot Koi Carps, which possess vastly superior mass and swimming speed, conformed entirely to the territorial supremacy of the much smaller Orandas. By displaying submissive schooling and yielding feeding zones, these larger co-habitants successfully bypassed the Orandas' chasing triggers, facilitating stable long-term coexistence. This proves that the territorial drive is highly adaptive, shifting from lethal enforcement in small volumes to structured psychological dominance in larger volumes.</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29"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Conclusion</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This 8-year generational study establishes that intensive artificial selective breeding for the high-grade Tri-Color Oranda phenotype unmasks a heritable, active territorial drive that directly contradicts current ichthyological literature. By confirming this behavior across 95 fish over three generations, the research demonstrates that non-physical, stress-inducing chasing is a stable, genetically embedded behavioral phenotype. These findings dictate that standard aquaculture species compatibility charts must be urgently re-evaluated for highly bred fancy goldfish variants. The author recommends future institutional genetic sequencing and allelic mapping to isolate the exact pleiotropic pathways responsible for this behavioral divergence.</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lastRenderedPageBreak/>
        <w:pict>
          <v:rect id="_x0000_i1030"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Acknowledgments</w:t>
      </w:r>
    </w:p>
    <w:p w:rsidR="0078426C" w:rsidRPr="0078426C" w:rsidRDefault="0078426C" w:rsidP="0078426C">
      <w:pPr>
        <w:spacing w:before="480" w:after="480" w:line="240" w:lineRule="auto"/>
        <w:rPr>
          <w:rFonts w:ascii="Arial" w:eastAsia="Times New Roman" w:hAnsi="Arial" w:cs="Arial"/>
          <w:sz w:val="24"/>
          <w:szCs w:val="24"/>
          <w:lang w:eastAsia="en-IN"/>
        </w:rPr>
      </w:pPr>
      <w:r w:rsidRPr="0078426C">
        <w:rPr>
          <w:rFonts w:ascii="Arial" w:eastAsia="Times New Roman" w:hAnsi="Arial" w:cs="Arial"/>
          <w:sz w:val="24"/>
          <w:szCs w:val="24"/>
          <w:lang w:eastAsia="en-IN"/>
        </w:rPr>
        <w:t>The author expresses his deepest gratitude to his parents, particularly his mother, for their indispensable financial backing and unwavering encouragement, which sustained this long-term hobby and independent research. The author highly acknowledges Biology Educator Satyabrata Das for technical feedback on the observational methodology, and English Educator Koushik Saha for support in English language proofreading and textual consultation during the assembly of the data history. Lastly, the author acknowledges regional aquaculture visual content creators, including Mayur Dev Aquascaper and Ashok Aqua, for their educational resources during the early phases of this hobby.</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31" style="width:0;height:1.5pt" o:hralign="center" o:hrstd="t" o:hr="t" fillcolor="#a0a0a0" stroked="f"/>
        </w:pict>
      </w:r>
    </w:p>
    <w:p w:rsidR="0078426C" w:rsidRPr="0078426C" w:rsidRDefault="0078426C" w:rsidP="0078426C">
      <w:pPr>
        <w:spacing w:before="480" w:after="480" w:line="240" w:lineRule="auto"/>
        <w:rPr>
          <w:rFonts w:ascii="Arial" w:eastAsia="Times New Roman" w:hAnsi="Arial" w:cs="Arial"/>
          <w:b/>
          <w:bCs/>
          <w:sz w:val="33"/>
          <w:szCs w:val="33"/>
          <w:lang w:eastAsia="en-IN"/>
        </w:rPr>
      </w:pPr>
      <w:r w:rsidRPr="0078426C">
        <w:rPr>
          <w:rFonts w:ascii="Arial" w:eastAsia="Times New Roman" w:hAnsi="Arial" w:cs="Arial"/>
          <w:b/>
          <w:bCs/>
          <w:sz w:val="33"/>
          <w:szCs w:val="33"/>
          <w:lang w:eastAsia="en-IN"/>
        </w:rPr>
        <w:t>References</w:t>
      </w:r>
    </w:p>
    <w:p w:rsidR="0078426C" w:rsidRPr="0078426C" w:rsidRDefault="0078426C" w:rsidP="0078426C">
      <w:pPr>
        <w:numPr>
          <w:ilvl w:val="0"/>
          <w:numId w:val="2"/>
        </w:numPr>
        <w:spacing w:after="0" w:line="240" w:lineRule="auto"/>
        <w:ind w:left="0"/>
        <w:rPr>
          <w:rFonts w:ascii="Arial" w:eastAsia="Times New Roman" w:hAnsi="Arial" w:cs="Arial"/>
          <w:sz w:val="24"/>
          <w:szCs w:val="24"/>
          <w:lang w:eastAsia="en-IN"/>
        </w:rPr>
      </w:pPr>
      <w:r w:rsidRPr="0078426C">
        <w:rPr>
          <w:rFonts w:ascii="Arial" w:eastAsia="Times New Roman" w:hAnsi="Arial" w:cs="Arial"/>
          <w:sz w:val="24"/>
          <w:szCs w:val="24"/>
          <w:lang w:eastAsia="en-IN"/>
        </w:rPr>
        <w:t xml:space="preserve">Smartt, J. (2001). </w:t>
      </w:r>
      <w:r w:rsidRPr="0078426C">
        <w:rPr>
          <w:rFonts w:ascii="Arial" w:eastAsia="Times New Roman" w:hAnsi="Arial" w:cs="Arial"/>
          <w:i/>
          <w:iCs/>
          <w:sz w:val="24"/>
          <w:szCs w:val="24"/>
          <w:lang w:eastAsia="en-IN"/>
        </w:rPr>
        <w:t>Goldfish Varieties and Genetics: A Handbook for Breeders</w:t>
      </w:r>
      <w:r w:rsidRPr="0078426C">
        <w:rPr>
          <w:rFonts w:ascii="Arial" w:eastAsia="Times New Roman" w:hAnsi="Arial" w:cs="Arial"/>
          <w:sz w:val="24"/>
          <w:szCs w:val="24"/>
          <w:lang w:eastAsia="en-IN"/>
        </w:rPr>
        <w:t>. Blackwell Science.</w:t>
      </w:r>
    </w:p>
    <w:p w:rsidR="0078426C" w:rsidRPr="0078426C" w:rsidRDefault="0078426C" w:rsidP="0078426C">
      <w:pPr>
        <w:numPr>
          <w:ilvl w:val="0"/>
          <w:numId w:val="2"/>
        </w:numPr>
        <w:spacing w:after="0" w:line="240" w:lineRule="auto"/>
        <w:ind w:left="0"/>
        <w:rPr>
          <w:rFonts w:ascii="Arial" w:eastAsia="Times New Roman" w:hAnsi="Arial" w:cs="Arial"/>
          <w:sz w:val="24"/>
          <w:szCs w:val="24"/>
          <w:lang w:eastAsia="en-IN"/>
        </w:rPr>
      </w:pPr>
      <w:r w:rsidRPr="0078426C">
        <w:rPr>
          <w:rFonts w:ascii="Arial" w:eastAsia="Times New Roman" w:hAnsi="Arial" w:cs="Arial"/>
          <w:sz w:val="24"/>
          <w:szCs w:val="24"/>
          <w:lang w:eastAsia="en-IN"/>
        </w:rPr>
        <w:t xml:space="preserve">Maggio, T., et al. (2017). Morphological changes and selective pressures during the dominance of </w:t>
      </w:r>
      <w:r w:rsidRPr="0078426C">
        <w:rPr>
          <w:rFonts w:ascii="Arial" w:eastAsia="Times New Roman" w:hAnsi="Arial" w:cs="Arial"/>
          <w:i/>
          <w:iCs/>
          <w:sz w:val="24"/>
          <w:szCs w:val="24"/>
          <w:lang w:eastAsia="en-IN"/>
        </w:rPr>
        <w:t>Carassius auratus</w:t>
      </w:r>
      <w:r w:rsidRPr="0078426C">
        <w:rPr>
          <w:rFonts w:ascii="Arial" w:eastAsia="Times New Roman" w:hAnsi="Arial" w:cs="Arial"/>
          <w:sz w:val="24"/>
          <w:szCs w:val="24"/>
          <w:lang w:eastAsia="en-IN"/>
        </w:rPr>
        <w:t xml:space="preserve">. </w:t>
      </w:r>
      <w:r w:rsidRPr="0078426C">
        <w:rPr>
          <w:rFonts w:ascii="Arial" w:eastAsia="Times New Roman" w:hAnsi="Arial" w:cs="Arial"/>
          <w:i/>
          <w:iCs/>
          <w:sz w:val="24"/>
          <w:szCs w:val="24"/>
          <w:lang w:eastAsia="en-IN"/>
        </w:rPr>
        <w:t>Journal of Fish Biology</w:t>
      </w:r>
      <w:r w:rsidRPr="0078426C">
        <w:rPr>
          <w:rFonts w:ascii="Arial" w:eastAsia="Times New Roman" w:hAnsi="Arial" w:cs="Arial"/>
          <w:sz w:val="24"/>
          <w:szCs w:val="24"/>
          <w:lang w:eastAsia="en-IN"/>
        </w:rPr>
        <w:t>, 91(4), 1022-1035.</w:t>
      </w:r>
    </w:p>
    <w:p w:rsidR="0078426C" w:rsidRPr="0078426C" w:rsidRDefault="0078426C" w:rsidP="0078426C">
      <w:pPr>
        <w:numPr>
          <w:ilvl w:val="0"/>
          <w:numId w:val="2"/>
        </w:numPr>
        <w:spacing w:after="0" w:line="240" w:lineRule="auto"/>
        <w:ind w:left="0"/>
        <w:rPr>
          <w:rFonts w:ascii="Arial" w:eastAsia="Times New Roman" w:hAnsi="Arial" w:cs="Arial"/>
          <w:sz w:val="24"/>
          <w:szCs w:val="24"/>
          <w:lang w:eastAsia="en-IN"/>
        </w:rPr>
      </w:pPr>
      <w:r w:rsidRPr="0078426C">
        <w:rPr>
          <w:rFonts w:ascii="Arial" w:eastAsia="Times New Roman" w:hAnsi="Arial" w:cs="Arial"/>
          <w:sz w:val="24"/>
          <w:szCs w:val="24"/>
          <w:lang w:eastAsia="en-IN"/>
        </w:rPr>
        <w:t xml:space="preserve">Axelrod, H. R., &amp; Vorderwinkler, W. (1995). </w:t>
      </w:r>
      <w:r w:rsidRPr="0078426C">
        <w:rPr>
          <w:rFonts w:ascii="Arial" w:eastAsia="Times New Roman" w:hAnsi="Arial" w:cs="Arial"/>
          <w:i/>
          <w:iCs/>
          <w:sz w:val="24"/>
          <w:szCs w:val="24"/>
          <w:lang w:eastAsia="en-IN"/>
        </w:rPr>
        <w:t>Encyclopedia of Tropical Fishes</w:t>
      </w:r>
      <w:r w:rsidRPr="0078426C">
        <w:rPr>
          <w:rFonts w:ascii="Arial" w:eastAsia="Times New Roman" w:hAnsi="Arial" w:cs="Arial"/>
          <w:sz w:val="24"/>
          <w:szCs w:val="24"/>
          <w:lang w:eastAsia="en-IN"/>
        </w:rPr>
        <w:t>. TFH Publications.</w:t>
      </w:r>
    </w:p>
    <w:p w:rsidR="0078426C" w:rsidRPr="0078426C" w:rsidRDefault="0078426C" w:rsidP="0078426C">
      <w:pPr>
        <w:numPr>
          <w:ilvl w:val="0"/>
          <w:numId w:val="2"/>
        </w:numPr>
        <w:spacing w:after="0" w:line="240" w:lineRule="auto"/>
        <w:ind w:left="0"/>
        <w:rPr>
          <w:rFonts w:ascii="Arial" w:eastAsia="Times New Roman" w:hAnsi="Arial" w:cs="Arial"/>
          <w:sz w:val="24"/>
          <w:szCs w:val="24"/>
          <w:lang w:eastAsia="en-IN"/>
        </w:rPr>
      </w:pPr>
      <w:r w:rsidRPr="0078426C">
        <w:rPr>
          <w:rFonts w:ascii="Arial" w:eastAsia="Times New Roman" w:hAnsi="Arial" w:cs="Arial"/>
          <w:sz w:val="24"/>
          <w:szCs w:val="24"/>
          <w:lang w:eastAsia="en-IN"/>
        </w:rPr>
        <w:t xml:space="preserve">Wright, D. (2015). Behavioral pleiotropy and the genetic architecture of domestication syndromes in teleost fish. </w:t>
      </w:r>
      <w:r w:rsidRPr="0078426C">
        <w:rPr>
          <w:rFonts w:ascii="Arial" w:eastAsia="Times New Roman" w:hAnsi="Arial" w:cs="Arial"/>
          <w:i/>
          <w:iCs/>
          <w:sz w:val="24"/>
          <w:szCs w:val="24"/>
          <w:lang w:eastAsia="en-IN"/>
        </w:rPr>
        <w:t>Frontiers in Ecology and Evolution</w:t>
      </w:r>
      <w:r w:rsidRPr="0078426C">
        <w:rPr>
          <w:rFonts w:ascii="Arial" w:eastAsia="Times New Roman" w:hAnsi="Arial" w:cs="Arial"/>
          <w:sz w:val="24"/>
          <w:szCs w:val="24"/>
          <w:lang w:eastAsia="en-IN"/>
        </w:rPr>
        <w:t>, 3, 44.</w:t>
      </w:r>
    </w:p>
    <w:p w:rsidR="0078426C" w:rsidRPr="0078426C" w:rsidRDefault="0078426C" w:rsidP="0078426C">
      <w:pPr>
        <w:numPr>
          <w:ilvl w:val="0"/>
          <w:numId w:val="2"/>
        </w:numPr>
        <w:spacing w:after="0" w:line="240" w:lineRule="auto"/>
        <w:ind w:left="0"/>
        <w:rPr>
          <w:rFonts w:ascii="Arial" w:eastAsia="Times New Roman" w:hAnsi="Arial" w:cs="Arial"/>
          <w:sz w:val="24"/>
          <w:szCs w:val="24"/>
          <w:lang w:eastAsia="en-IN"/>
        </w:rPr>
      </w:pPr>
      <w:r w:rsidRPr="0078426C">
        <w:rPr>
          <w:rFonts w:ascii="Arial" w:eastAsia="Times New Roman" w:hAnsi="Arial" w:cs="Arial"/>
          <w:sz w:val="24"/>
          <w:szCs w:val="24"/>
          <w:lang w:eastAsia="en-IN"/>
        </w:rPr>
        <w:t>Sibbing, F. A. (1982). Pharyngeal mastication and food transport in the carp (</w:t>
      </w:r>
      <w:r w:rsidRPr="0078426C">
        <w:rPr>
          <w:rFonts w:ascii="Arial" w:eastAsia="Times New Roman" w:hAnsi="Arial" w:cs="Arial"/>
          <w:i/>
          <w:iCs/>
          <w:sz w:val="24"/>
          <w:szCs w:val="24"/>
          <w:lang w:eastAsia="en-IN"/>
        </w:rPr>
        <w:t>Cyprinus carpio</w:t>
      </w:r>
      <w:r w:rsidRPr="0078426C">
        <w:rPr>
          <w:rFonts w:ascii="Arial" w:eastAsia="Times New Roman" w:hAnsi="Arial" w:cs="Arial"/>
          <w:sz w:val="24"/>
          <w:szCs w:val="24"/>
          <w:lang w:eastAsia="en-IN"/>
        </w:rPr>
        <w:t xml:space="preserve"> L.). </w:t>
      </w:r>
      <w:r w:rsidRPr="0078426C">
        <w:rPr>
          <w:rFonts w:ascii="Arial" w:eastAsia="Times New Roman" w:hAnsi="Arial" w:cs="Arial"/>
          <w:i/>
          <w:iCs/>
          <w:sz w:val="24"/>
          <w:szCs w:val="24"/>
          <w:lang w:eastAsia="en-IN"/>
        </w:rPr>
        <w:t>Journal of Morphology</w:t>
      </w:r>
      <w:r w:rsidRPr="0078426C">
        <w:rPr>
          <w:rFonts w:ascii="Arial" w:eastAsia="Times New Roman" w:hAnsi="Arial" w:cs="Arial"/>
          <w:sz w:val="24"/>
          <w:szCs w:val="24"/>
          <w:lang w:eastAsia="en-IN"/>
        </w:rPr>
        <w:t>, 172(2), 223-258.</w:t>
      </w:r>
    </w:p>
    <w:p w:rsidR="0078426C" w:rsidRPr="0078426C" w:rsidRDefault="0078426C" w:rsidP="0078426C">
      <w:pPr>
        <w:spacing w:before="480" w:after="480" w:line="240" w:lineRule="auto"/>
        <w:rPr>
          <w:rFonts w:ascii="Times New Roman" w:eastAsia="Times New Roman" w:hAnsi="Times New Roman" w:cs="Times New Roman"/>
          <w:sz w:val="24"/>
          <w:szCs w:val="24"/>
          <w:lang w:eastAsia="en-IN"/>
        </w:rPr>
      </w:pPr>
      <w:r w:rsidRPr="0078426C">
        <w:rPr>
          <w:rFonts w:ascii="Times New Roman" w:eastAsia="Times New Roman" w:hAnsi="Times New Roman" w:cs="Times New Roman"/>
          <w:sz w:val="24"/>
          <w:szCs w:val="24"/>
          <w:lang w:eastAsia="en-IN"/>
        </w:rPr>
        <w:pict>
          <v:rect id="_x0000_i1032" style="width:0;height:1.5pt" o:hralign="center" o:hrstd="t" o:hr="t" fillcolor="#a0a0a0" stroked="f"/>
        </w:pict>
      </w:r>
    </w:p>
    <w:p w:rsidR="002C0C4B" w:rsidRPr="0078426C" w:rsidRDefault="002C0C4B">
      <w:pPr>
        <w:rPr>
          <w:rFonts w:ascii="Times New Roman" w:hAnsi="Times New Roman" w:cs="Times New Roman"/>
          <w:sz w:val="24"/>
          <w:szCs w:val="24"/>
        </w:rPr>
      </w:pPr>
    </w:p>
    <w:sectPr w:rsidR="002C0C4B" w:rsidRPr="0078426C" w:rsidSect="002C0C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C5315"/>
    <w:multiLevelType w:val="multilevel"/>
    <w:tmpl w:val="037E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3269F9"/>
    <w:multiLevelType w:val="multilevel"/>
    <w:tmpl w:val="8DC6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8426C"/>
    <w:rsid w:val="002C0C4B"/>
    <w:rsid w:val="0078426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C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26C"/>
    <w:rPr>
      <w:b/>
      <w:bCs/>
    </w:rPr>
  </w:style>
  <w:style w:type="character" w:styleId="Emphasis">
    <w:name w:val="Emphasis"/>
    <w:basedOn w:val="DefaultParagraphFont"/>
    <w:uiPriority w:val="20"/>
    <w:qFormat/>
    <w:rsid w:val="0078426C"/>
    <w:rPr>
      <w:i/>
      <w:iCs/>
    </w:rPr>
  </w:style>
  <w:style w:type="character" w:customStyle="1" w:styleId="inqyif">
    <w:name w:val="inqyif"/>
    <w:basedOn w:val="DefaultParagraphFont"/>
    <w:rsid w:val="0078426C"/>
  </w:style>
</w:styles>
</file>

<file path=word/webSettings.xml><?xml version="1.0" encoding="utf-8"?>
<w:webSettings xmlns:r="http://schemas.openxmlformats.org/officeDocument/2006/relationships" xmlns:w="http://schemas.openxmlformats.org/wordprocessingml/2006/main">
  <w:divs>
    <w:div w:id="1058169984">
      <w:bodyDiv w:val="1"/>
      <w:marLeft w:val="0"/>
      <w:marRight w:val="0"/>
      <w:marTop w:val="0"/>
      <w:marBottom w:val="0"/>
      <w:divBdr>
        <w:top w:val="none" w:sz="0" w:space="0" w:color="auto"/>
        <w:left w:val="none" w:sz="0" w:space="0" w:color="auto"/>
        <w:bottom w:val="none" w:sz="0" w:space="0" w:color="auto"/>
        <w:right w:val="none" w:sz="0" w:space="0" w:color="auto"/>
      </w:divBdr>
      <w:divsChild>
        <w:div w:id="1363361284">
          <w:marLeft w:val="0"/>
          <w:marRight w:val="0"/>
          <w:marTop w:val="360"/>
          <w:marBottom w:val="180"/>
          <w:divBdr>
            <w:top w:val="none" w:sz="0" w:space="0" w:color="auto"/>
            <w:left w:val="none" w:sz="0" w:space="0" w:color="auto"/>
            <w:bottom w:val="none" w:sz="0" w:space="0" w:color="auto"/>
            <w:right w:val="none" w:sz="0" w:space="0" w:color="auto"/>
          </w:divBdr>
        </w:div>
        <w:div w:id="1138573641">
          <w:marLeft w:val="0"/>
          <w:marRight w:val="0"/>
          <w:marTop w:val="180"/>
          <w:marBottom w:val="240"/>
          <w:divBdr>
            <w:top w:val="none" w:sz="0" w:space="0" w:color="auto"/>
            <w:left w:val="none" w:sz="0" w:space="0" w:color="auto"/>
            <w:bottom w:val="none" w:sz="0" w:space="0" w:color="auto"/>
            <w:right w:val="none" w:sz="0" w:space="0" w:color="auto"/>
          </w:divBdr>
        </w:div>
        <w:div w:id="391584295">
          <w:marLeft w:val="0"/>
          <w:marRight w:val="0"/>
          <w:marTop w:val="360"/>
          <w:marBottom w:val="180"/>
          <w:divBdr>
            <w:top w:val="none" w:sz="0" w:space="0" w:color="auto"/>
            <w:left w:val="none" w:sz="0" w:space="0" w:color="auto"/>
            <w:bottom w:val="none" w:sz="0" w:space="0" w:color="auto"/>
            <w:right w:val="none" w:sz="0" w:space="0" w:color="auto"/>
          </w:divBdr>
        </w:div>
        <w:div w:id="1801802439">
          <w:marLeft w:val="0"/>
          <w:marRight w:val="0"/>
          <w:marTop w:val="180"/>
          <w:marBottom w:val="240"/>
          <w:divBdr>
            <w:top w:val="none" w:sz="0" w:space="0" w:color="auto"/>
            <w:left w:val="none" w:sz="0" w:space="0" w:color="auto"/>
            <w:bottom w:val="none" w:sz="0" w:space="0" w:color="auto"/>
            <w:right w:val="none" w:sz="0" w:space="0" w:color="auto"/>
          </w:divBdr>
        </w:div>
        <w:div w:id="1255479816">
          <w:marLeft w:val="0"/>
          <w:marRight w:val="0"/>
          <w:marTop w:val="180"/>
          <w:marBottom w:val="240"/>
          <w:divBdr>
            <w:top w:val="none" w:sz="0" w:space="0" w:color="auto"/>
            <w:left w:val="none" w:sz="0" w:space="0" w:color="auto"/>
            <w:bottom w:val="none" w:sz="0" w:space="0" w:color="auto"/>
            <w:right w:val="none" w:sz="0" w:space="0" w:color="auto"/>
          </w:divBdr>
        </w:div>
        <w:div w:id="1163471596">
          <w:marLeft w:val="0"/>
          <w:marRight w:val="0"/>
          <w:marTop w:val="180"/>
          <w:marBottom w:val="240"/>
          <w:divBdr>
            <w:top w:val="none" w:sz="0" w:space="0" w:color="auto"/>
            <w:left w:val="none" w:sz="0" w:space="0" w:color="auto"/>
            <w:bottom w:val="none" w:sz="0" w:space="0" w:color="auto"/>
            <w:right w:val="none" w:sz="0" w:space="0" w:color="auto"/>
          </w:divBdr>
        </w:div>
        <w:div w:id="610086125">
          <w:marLeft w:val="0"/>
          <w:marRight w:val="0"/>
          <w:marTop w:val="360"/>
          <w:marBottom w:val="180"/>
          <w:divBdr>
            <w:top w:val="none" w:sz="0" w:space="0" w:color="auto"/>
            <w:left w:val="none" w:sz="0" w:space="0" w:color="auto"/>
            <w:bottom w:val="none" w:sz="0" w:space="0" w:color="auto"/>
            <w:right w:val="none" w:sz="0" w:space="0" w:color="auto"/>
          </w:divBdr>
        </w:div>
        <w:div w:id="96414099">
          <w:marLeft w:val="0"/>
          <w:marRight w:val="0"/>
          <w:marTop w:val="180"/>
          <w:marBottom w:val="240"/>
          <w:divBdr>
            <w:top w:val="none" w:sz="0" w:space="0" w:color="auto"/>
            <w:left w:val="none" w:sz="0" w:space="0" w:color="auto"/>
            <w:bottom w:val="none" w:sz="0" w:space="0" w:color="auto"/>
            <w:right w:val="none" w:sz="0" w:space="0" w:color="auto"/>
          </w:divBdr>
        </w:div>
        <w:div w:id="115637224">
          <w:marLeft w:val="0"/>
          <w:marRight w:val="0"/>
          <w:marTop w:val="180"/>
          <w:marBottom w:val="240"/>
          <w:divBdr>
            <w:top w:val="none" w:sz="0" w:space="0" w:color="auto"/>
            <w:left w:val="none" w:sz="0" w:space="0" w:color="auto"/>
            <w:bottom w:val="none" w:sz="0" w:space="0" w:color="auto"/>
            <w:right w:val="none" w:sz="0" w:space="0" w:color="auto"/>
          </w:divBdr>
        </w:div>
        <w:div w:id="591166228">
          <w:marLeft w:val="0"/>
          <w:marRight w:val="0"/>
          <w:marTop w:val="360"/>
          <w:marBottom w:val="180"/>
          <w:divBdr>
            <w:top w:val="none" w:sz="0" w:space="0" w:color="auto"/>
            <w:left w:val="none" w:sz="0" w:space="0" w:color="auto"/>
            <w:bottom w:val="none" w:sz="0" w:space="0" w:color="auto"/>
            <w:right w:val="none" w:sz="0" w:space="0" w:color="auto"/>
          </w:divBdr>
        </w:div>
        <w:div w:id="1466315876">
          <w:marLeft w:val="0"/>
          <w:marRight w:val="0"/>
          <w:marTop w:val="360"/>
          <w:marBottom w:val="180"/>
          <w:divBdr>
            <w:top w:val="none" w:sz="0" w:space="0" w:color="auto"/>
            <w:left w:val="none" w:sz="0" w:space="0" w:color="auto"/>
            <w:bottom w:val="none" w:sz="0" w:space="0" w:color="auto"/>
            <w:right w:val="none" w:sz="0" w:space="0" w:color="auto"/>
          </w:divBdr>
        </w:div>
        <w:div w:id="1830516631">
          <w:marLeft w:val="0"/>
          <w:marRight w:val="0"/>
          <w:marTop w:val="180"/>
          <w:marBottom w:val="240"/>
          <w:divBdr>
            <w:top w:val="none" w:sz="0" w:space="0" w:color="auto"/>
            <w:left w:val="none" w:sz="0" w:space="0" w:color="auto"/>
            <w:bottom w:val="none" w:sz="0" w:space="0" w:color="auto"/>
            <w:right w:val="none" w:sz="0" w:space="0" w:color="auto"/>
          </w:divBdr>
        </w:div>
        <w:div w:id="2006081453">
          <w:marLeft w:val="0"/>
          <w:marRight w:val="0"/>
          <w:marTop w:val="180"/>
          <w:marBottom w:val="240"/>
          <w:divBdr>
            <w:top w:val="none" w:sz="0" w:space="0" w:color="auto"/>
            <w:left w:val="none" w:sz="0" w:space="0" w:color="auto"/>
            <w:bottom w:val="none" w:sz="0" w:space="0" w:color="auto"/>
            <w:right w:val="none" w:sz="0" w:space="0" w:color="auto"/>
          </w:divBdr>
        </w:div>
        <w:div w:id="1965888712">
          <w:marLeft w:val="0"/>
          <w:marRight w:val="0"/>
          <w:marTop w:val="180"/>
          <w:marBottom w:val="240"/>
          <w:divBdr>
            <w:top w:val="none" w:sz="0" w:space="0" w:color="auto"/>
            <w:left w:val="none" w:sz="0" w:space="0" w:color="auto"/>
            <w:bottom w:val="none" w:sz="0" w:space="0" w:color="auto"/>
            <w:right w:val="none" w:sz="0" w:space="0" w:color="auto"/>
          </w:divBdr>
        </w:div>
        <w:div w:id="1040781086">
          <w:marLeft w:val="0"/>
          <w:marRight w:val="0"/>
          <w:marTop w:val="360"/>
          <w:marBottom w:val="180"/>
          <w:divBdr>
            <w:top w:val="none" w:sz="0" w:space="0" w:color="auto"/>
            <w:left w:val="none" w:sz="0" w:space="0" w:color="auto"/>
            <w:bottom w:val="none" w:sz="0" w:space="0" w:color="auto"/>
            <w:right w:val="none" w:sz="0" w:space="0" w:color="auto"/>
          </w:divBdr>
        </w:div>
        <w:div w:id="164781882">
          <w:marLeft w:val="0"/>
          <w:marRight w:val="0"/>
          <w:marTop w:val="180"/>
          <w:marBottom w:val="240"/>
          <w:divBdr>
            <w:top w:val="none" w:sz="0" w:space="0" w:color="auto"/>
            <w:left w:val="none" w:sz="0" w:space="0" w:color="auto"/>
            <w:bottom w:val="none" w:sz="0" w:space="0" w:color="auto"/>
            <w:right w:val="none" w:sz="0" w:space="0" w:color="auto"/>
          </w:divBdr>
        </w:div>
        <w:div w:id="1697611774">
          <w:marLeft w:val="0"/>
          <w:marRight w:val="0"/>
          <w:marTop w:val="360"/>
          <w:marBottom w:val="180"/>
          <w:divBdr>
            <w:top w:val="none" w:sz="0" w:space="0" w:color="auto"/>
            <w:left w:val="none" w:sz="0" w:space="0" w:color="auto"/>
            <w:bottom w:val="none" w:sz="0" w:space="0" w:color="auto"/>
            <w:right w:val="none" w:sz="0" w:space="0" w:color="auto"/>
          </w:divBdr>
        </w:div>
        <w:div w:id="1862737217">
          <w:marLeft w:val="0"/>
          <w:marRight w:val="0"/>
          <w:marTop w:val="360"/>
          <w:marBottom w:val="180"/>
          <w:divBdr>
            <w:top w:val="none" w:sz="0" w:space="0" w:color="auto"/>
            <w:left w:val="none" w:sz="0" w:space="0" w:color="auto"/>
            <w:bottom w:val="none" w:sz="0" w:space="0" w:color="auto"/>
            <w:right w:val="none" w:sz="0" w:space="0" w:color="auto"/>
          </w:divBdr>
        </w:div>
        <w:div w:id="1169367105">
          <w:marLeft w:val="0"/>
          <w:marRight w:val="0"/>
          <w:marTop w:val="180"/>
          <w:marBottom w:val="240"/>
          <w:divBdr>
            <w:top w:val="none" w:sz="0" w:space="0" w:color="auto"/>
            <w:left w:val="none" w:sz="0" w:space="0" w:color="auto"/>
            <w:bottom w:val="none" w:sz="0" w:space="0" w:color="auto"/>
            <w:right w:val="none" w:sz="0" w:space="0" w:color="auto"/>
          </w:divBdr>
        </w:div>
        <w:div w:id="1876842820">
          <w:marLeft w:val="0"/>
          <w:marRight w:val="0"/>
          <w:marTop w:val="360"/>
          <w:marBottom w:val="180"/>
          <w:divBdr>
            <w:top w:val="none" w:sz="0" w:space="0" w:color="auto"/>
            <w:left w:val="none" w:sz="0" w:space="0" w:color="auto"/>
            <w:bottom w:val="none" w:sz="0" w:space="0" w:color="auto"/>
            <w:right w:val="none" w:sz="0" w:space="0" w:color="auto"/>
          </w:divBdr>
        </w:div>
        <w:div w:id="433135774">
          <w:marLeft w:val="0"/>
          <w:marRight w:val="0"/>
          <w:marTop w:val="180"/>
          <w:marBottom w:val="240"/>
          <w:divBdr>
            <w:top w:val="none" w:sz="0" w:space="0" w:color="auto"/>
            <w:left w:val="none" w:sz="0" w:space="0" w:color="auto"/>
            <w:bottom w:val="none" w:sz="0" w:space="0" w:color="auto"/>
            <w:right w:val="none" w:sz="0" w:space="0" w:color="auto"/>
          </w:divBdr>
        </w:div>
        <w:div w:id="1817985346">
          <w:marLeft w:val="0"/>
          <w:marRight w:val="0"/>
          <w:marTop w:val="180"/>
          <w:marBottom w:val="240"/>
          <w:divBdr>
            <w:top w:val="none" w:sz="0" w:space="0" w:color="auto"/>
            <w:left w:val="none" w:sz="0" w:space="0" w:color="auto"/>
            <w:bottom w:val="none" w:sz="0" w:space="0" w:color="auto"/>
            <w:right w:val="none" w:sz="0" w:space="0" w:color="auto"/>
          </w:divBdr>
        </w:div>
        <w:div w:id="255601139">
          <w:marLeft w:val="0"/>
          <w:marRight w:val="0"/>
          <w:marTop w:val="180"/>
          <w:marBottom w:val="240"/>
          <w:divBdr>
            <w:top w:val="none" w:sz="0" w:space="0" w:color="auto"/>
            <w:left w:val="none" w:sz="0" w:space="0" w:color="auto"/>
            <w:bottom w:val="none" w:sz="0" w:space="0" w:color="auto"/>
            <w:right w:val="none" w:sz="0" w:space="0" w:color="auto"/>
          </w:divBdr>
        </w:div>
        <w:div w:id="1715151641">
          <w:marLeft w:val="0"/>
          <w:marRight w:val="0"/>
          <w:marTop w:val="360"/>
          <w:marBottom w:val="180"/>
          <w:divBdr>
            <w:top w:val="none" w:sz="0" w:space="0" w:color="auto"/>
            <w:left w:val="none" w:sz="0" w:space="0" w:color="auto"/>
            <w:bottom w:val="none" w:sz="0" w:space="0" w:color="auto"/>
            <w:right w:val="none" w:sz="0" w:space="0" w:color="auto"/>
          </w:divBdr>
        </w:div>
        <w:div w:id="2032485048">
          <w:marLeft w:val="0"/>
          <w:marRight w:val="0"/>
          <w:marTop w:val="180"/>
          <w:marBottom w:val="240"/>
          <w:divBdr>
            <w:top w:val="none" w:sz="0" w:space="0" w:color="auto"/>
            <w:left w:val="none" w:sz="0" w:space="0" w:color="auto"/>
            <w:bottom w:val="none" w:sz="0" w:space="0" w:color="auto"/>
            <w:right w:val="none" w:sz="0" w:space="0" w:color="auto"/>
          </w:divBdr>
        </w:div>
        <w:div w:id="466748016">
          <w:marLeft w:val="0"/>
          <w:marRight w:val="0"/>
          <w:marTop w:val="360"/>
          <w:marBottom w:val="180"/>
          <w:divBdr>
            <w:top w:val="none" w:sz="0" w:space="0" w:color="auto"/>
            <w:left w:val="none" w:sz="0" w:space="0" w:color="auto"/>
            <w:bottom w:val="none" w:sz="0" w:space="0" w:color="auto"/>
            <w:right w:val="none" w:sz="0" w:space="0" w:color="auto"/>
          </w:divBdr>
        </w:div>
        <w:div w:id="2144611455">
          <w:marLeft w:val="0"/>
          <w:marRight w:val="0"/>
          <w:marTop w:val="60"/>
          <w:marBottom w:val="180"/>
          <w:divBdr>
            <w:top w:val="none" w:sz="0" w:space="0" w:color="auto"/>
            <w:left w:val="none" w:sz="0" w:space="0" w:color="auto"/>
            <w:bottom w:val="none" w:sz="0" w:space="0" w:color="auto"/>
            <w:right w:val="none" w:sz="0" w:space="0" w:color="auto"/>
          </w:divBdr>
        </w:div>
        <w:div w:id="166134511">
          <w:marLeft w:val="0"/>
          <w:marRight w:val="0"/>
          <w:marTop w:val="180"/>
          <w:marBottom w:val="240"/>
          <w:divBdr>
            <w:top w:val="none" w:sz="0" w:space="0" w:color="auto"/>
            <w:left w:val="none" w:sz="0" w:space="0" w:color="auto"/>
            <w:bottom w:val="none" w:sz="0" w:space="0" w:color="auto"/>
            <w:right w:val="none" w:sz="0" w:space="0" w:color="auto"/>
          </w:divBdr>
        </w:div>
        <w:div w:id="209419851">
          <w:marLeft w:val="0"/>
          <w:marRight w:val="0"/>
          <w:marTop w:val="360"/>
          <w:marBottom w:val="180"/>
          <w:divBdr>
            <w:top w:val="none" w:sz="0" w:space="0" w:color="auto"/>
            <w:left w:val="none" w:sz="0" w:space="0" w:color="auto"/>
            <w:bottom w:val="none" w:sz="0" w:space="0" w:color="auto"/>
            <w:right w:val="none" w:sz="0" w:space="0" w:color="auto"/>
          </w:divBdr>
        </w:div>
        <w:div w:id="1121846243">
          <w:marLeft w:val="0"/>
          <w:marRight w:val="0"/>
          <w:marTop w:val="180"/>
          <w:marBottom w:val="240"/>
          <w:divBdr>
            <w:top w:val="none" w:sz="0" w:space="0" w:color="auto"/>
            <w:left w:val="none" w:sz="0" w:space="0" w:color="auto"/>
            <w:bottom w:val="none" w:sz="0" w:space="0" w:color="auto"/>
            <w:right w:val="none" w:sz="0" w:space="0" w:color="auto"/>
          </w:divBdr>
        </w:div>
        <w:div w:id="729768741">
          <w:marLeft w:val="0"/>
          <w:marRight w:val="0"/>
          <w:marTop w:val="360"/>
          <w:marBottom w:val="180"/>
          <w:divBdr>
            <w:top w:val="none" w:sz="0" w:space="0" w:color="auto"/>
            <w:left w:val="none" w:sz="0" w:space="0" w:color="auto"/>
            <w:bottom w:val="none" w:sz="0" w:space="0" w:color="auto"/>
            <w:right w:val="none" w:sz="0" w:space="0" w:color="auto"/>
          </w:divBdr>
        </w:div>
        <w:div w:id="680013908">
          <w:marLeft w:val="0"/>
          <w:marRight w:val="0"/>
          <w:marTop w:val="180"/>
          <w:marBottom w:val="240"/>
          <w:divBdr>
            <w:top w:val="none" w:sz="0" w:space="0" w:color="auto"/>
            <w:left w:val="none" w:sz="0" w:space="0" w:color="auto"/>
            <w:bottom w:val="none" w:sz="0" w:space="0" w:color="auto"/>
            <w:right w:val="none" w:sz="0" w:space="0" w:color="auto"/>
          </w:divBdr>
        </w:div>
        <w:div w:id="467407008">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1688</Words>
  <Characters>9623</Characters>
  <Application>Microsoft Office Word</Application>
  <DocSecurity>0</DocSecurity>
  <Lines>80</Lines>
  <Paragraphs>22</Paragraphs>
  <ScaleCrop>false</ScaleCrop>
  <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Sharmila Goswami</dc:creator>
  <cp:lastModifiedBy>Sharmila Goswami</cp:lastModifiedBy>
  <cp:revision>1</cp:revision>
  <dcterms:created xsi:type="dcterms:W3CDTF">2026-10-24T18:37:00Z</dcterms:created>
  <dcterms:modified xsi:type="dcterms:W3CDTF">2026-10-24T18:38:00Z</dcterms:modified>
</cp:coreProperties>
</file>